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50AD" w:rsidRPr="00A35BDE" w:rsidRDefault="00FC50AD" w:rsidP="00FC50AD">
      <w:pPr>
        <w:spacing w:after="0"/>
        <w:jc w:val="center"/>
        <w:rPr>
          <w:b/>
          <w:sz w:val="26"/>
          <w:u w:val="single"/>
        </w:rPr>
      </w:pPr>
      <w:r>
        <w:rPr>
          <w:b/>
          <w:sz w:val="26"/>
          <w:u w:val="single"/>
        </w:rPr>
        <w:t>Annexure-04</w:t>
      </w:r>
    </w:p>
    <w:p w:rsidR="00FC50AD" w:rsidRPr="00FC50AD" w:rsidRDefault="00FC50AD" w:rsidP="00FC50AD">
      <w:pPr>
        <w:spacing w:after="0"/>
        <w:jc w:val="center"/>
        <w:rPr>
          <w:rFonts w:ascii="Arial" w:hAnsi="Arial" w:cs="Arial"/>
          <w:b/>
          <w:sz w:val="22"/>
          <w:szCs w:val="20"/>
          <w:u w:val="single"/>
        </w:rPr>
      </w:pPr>
      <w:r w:rsidRPr="00FC50AD">
        <w:rPr>
          <w:rFonts w:ascii="Arial" w:hAnsi="Arial" w:cs="Arial"/>
          <w:b/>
          <w:sz w:val="22"/>
          <w:szCs w:val="20"/>
          <w:u w:val="single"/>
        </w:rPr>
        <w:t>Bidder’s Eligibility Criteria</w:t>
      </w:r>
    </w:p>
    <w:p w:rsidR="00FC50AD" w:rsidRDefault="00FC50AD" w:rsidP="00FC50AD">
      <w:pPr>
        <w:spacing w:after="0"/>
        <w:jc w:val="center"/>
        <w:rPr>
          <w:rFonts w:ascii="Arial" w:hAnsi="Arial" w:cs="Arial"/>
          <w:b/>
          <w:sz w:val="20"/>
        </w:rPr>
      </w:pPr>
    </w:p>
    <w:p w:rsidR="00FC50AD" w:rsidRPr="008B0949" w:rsidRDefault="00FC50AD" w:rsidP="00FC50AD">
      <w:pPr>
        <w:spacing w:after="0"/>
        <w:jc w:val="center"/>
        <w:rPr>
          <w:rFonts w:ascii="Arial" w:hAnsi="Arial" w:cs="Arial"/>
          <w:b/>
          <w:sz w:val="20"/>
        </w:rPr>
      </w:pPr>
      <w:r w:rsidRPr="008B0949">
        <w:rPr>
          <w:rFonts w:ascii="Arial" w:hAnsi="Arial" w:cs="Arial"/>
          <w:b/>
          <w:sz w:val="20"/>
        </w:rPr>
        <w:t>City Bank PLC</w:t>
      </w:r>
    </w:p>
    <w:p w:rsidR="00FC50AD" w:rsidRPr="008B0949" w:rsidRDefault="00FC50AD" w:rsidP="00FC50AD">
      <w:pPr>
        <w:spacing w:after="0"/>
        <w:jc w:val="center"/>
        <w:rPr>
          <w:rFonts w:ascii="Arial" w:hAnsi="Arial" w:cs="Arial"/>
          <w:b/>
          <w:sz w:val="20"/>
        </w:rPr>
      </w:pPr>
      <w:r w:rsidRPr="008B0949">
        <w:rPr>
          <w:rFonts w:ascii="Arial" w:hAnsi="Arial" w:cs="Arial"/>
          <w:b/>
          <w:sz w:val="20"/>
        </w:rPr>
        <w:t>Procurement Division</w:t>
      </w:r>
    </w:p>
    <w:p w:rsidR="00FC50AD" w:rsidRPr="008B0949" w:rsidRDefault="00FC50AD" w:rsidP="00FC50AD">
      <w:pPr>
        <w:pBdr>
          <w:bottom w:val="single" w:sz="6" w:space="1" w:color="auto"/>
        </w:pBdr>
        <w:jc w:val="center"/>
        <w:rPr>
          <w:rFonts w:ascii="Arial" w:hAnsi="Arial" w:cs="Arial"/>
          <w:sz w:val="16"/>
          <w:szCs w:val="20"/>
        </w:rPr>
      </w:pPr>
      <w:r w:rsidRPr="008B0949">
        <w:rPr>
          <w:rFonts w:ascii="Arial" w:hAnsi="Arial" w:cs="Arial"/>
          <w:sz w:val="16"/>
          <w:szCs w:val="20"/>
        </w:rPr>
        <w:t>City Bank Center, 4</w:t>
      </w:r>
      <w:r w:rsidRPr="008B0949">
        <w:rPr>
          <w:rFonts w:ascii="Arial" w:hAnsi="Arial" w:cs="Arial"/>
          <w:sz w:val="16"/>
          <w:szCs w:val="20"/>
          <w:vertAlign w:val="superscript"/>
        </w:rPr>
        <w:t>th</w:t>
      </w:r>
      <w:r w:rsidRPr="008B0949">
        <w:rPr>
          <w:rFonts w:ascii="Arial" w:hAnsi="Arial" w:cs="Arial"/>
          <w:sz w:val="16"/>
          <w:szCs w:val="20"/>
        </w:rPr>
        <w:t xml:space="preserve"> Floor, 28 Gulshan Avenue, Gulshan-1, Dhaka - 1212, Bangladesh</w:t>
      </w:r>
    </w:p>
    <w:p w:rsidR="00FC50AD" w:rsidRPr="00FC50AD" w:rsidRDefault="00FC50AD" w:rsidP="00FC50AD">
      <w:pPr>
        <w:spacing w:after="0"/>
        <w:jc w:val="center"/>
        <w:rPr>
          <w:rFonts w:ascii="Arial" w:hAnsi="Arial" w:cs="Arial"/>
          <w:b/>
          <w:sz w:val="18"/>
          <w:szCs w:val="20"/>
        </w:rPr>
      </w:pPr>
      <w:r w:rsidRPr="00FC50AD">
        <w:rPr>
          <w:rFonts w:ascii="Arial" w:hAnsi="Arial" w:cs="Arial"/>
          <w:b/>
          <w:sz w:val="18"/>
          <w:szCs w:val="20"/>
        </w:rPr>
        <w:t xml:space="preserve">Purchase &amp; Renewal of </w:t>
      </w:r>
    </w:p>
    <w:p w:rsidR="000C4C39" w:rsidRPr="00FC50AD" w:rsidRDefault="00FC50AD" w:rsidP="00FC50AD">
      <w:pPr>
        <w:spacing w:after="0"/>
        <w:jc w:val="center"/>
        <w:rPr>
          <w:rFonts w:ascii="Arial" w:hAnsi="Arial" w:cs="Arial"/>
          <w:b/>
          <w:sz w:val="18"/>
          <w:szCs w:val="20"/>
        </w:rPr>
      </w:pPr>
      <w:r w:rsidRPr="00FC50AD">
        <w:rPr>
          <w:rFonts w:ascii="Arial" w:hAnsi="Arial" w:cs="Arial"/>
          <w:b/>
          <w:sz w:val="18"/>
          <w:szCs w:val="20"/>
        </w:rPr>
        <w:t>Microsoft Enterprise License for City Bank PLC</w:t>
      </w:r>
    </w:p>
    <w:p w:rsidR="00BF440C" w:rsidRPr="00FC50AD" w:rsidRDefault="00BF440C" w:rsidP="00BF440C">
      <w:pPr>
        <w:rPr>
          <w:rFonts w:ascii="Calibri" w:hAnsi="Calibri" w:cs="Calibri"/>
          <w:b/>
          <w:bCs/>
          <w:szCs w:val="28"/>
          <w:u w:val="single"/>
        </w:rPr>
      </w:pPr>
      <w:r w:rsidRPr="00FC50AD">
        <w:rPr>
          <w:rFonts w:ascii="Calibri" w:hAnsi="Calibri" w:cs="Calibri"/>
          <w:b/>
          <w:bCs/>
          <w:szCs w:val="28"/>
          <w:u w:val="single"/>
        </w:rPr>
        <w:t>Support Service</w:t>
      </w:r>
    </w:p>
    <w:tbl>
      <w:tblPr>
        <w:tblStyle w:val="TableGrid"/>
        <w:tblW w:w="9355" w:type="dxa"/>
        <w:tblLayout w:type="fixed"/>
        <w:tblLook w:val="04A0" w:firstRow="1" w:lastRow="0" w:firstColumn="1" w:lastColumn="0" w:noHBand="0" w:noVBand="1"/>
      </w:tblPr>
      <w:tblGrid>
        <w:gridCol w:w="1165"/>
        <w:gridCol w:w="1080"/>
        <w:gridCol w:w="2160"/>
        <w:gridCol w:w="990"/>
        <w:gridCol w:w="1170"/>
        <w:gridCol w:w="1080"/>
        <w:gridCol w:w="1710"/>
      </w:tblGrid>
      <w:tr w:rsidR="00BF440C" w:rsidRPr="00FC50AD" w:rsidTr="00FC50AD">
        <w:tc>
          <w:tcPr>
            <w:tcW w:w="6565" w:type="dxa"/>
            <w:gridSpan w:val="5"/>
            <w:vAlign w:val="center"/>
            <w:hideMark/>
          </w:tcPr>
          <w:p w:rsidR="00BF440C" w:rsidRPr="00FC50AD" w:rsidRDefault="00BF440C" w:rsidP="00FC50AD">
            <w:pPr>
              <w:spacing w:line="278" w:lineRule="auto"/>
              <w:jc w:val="center"/>
              <w:rPr>
                <w:rFonts w:ascii="Calibri" w:hAnsi="Calibri" w:cs="Calibri"/>
                <w:b/>
                <w:bCs/>
                <w:sz w:val="19"/>
                <w:szCs w:val="19"/>
              </w:rPr>
            </w:pPr>
            <w:r w:rsidRPr="00FC50AD">
              <w:rPr>
                <w:rFonts w:ascii="Calibri" w:hAnsi="Calibri" w:cs="Calibri"/>
                <w:b/>
                <w:bCs/>
                <w:sz w:val="19"/>
                <w:szCs w:val="19"/>
              </w:rPr>
              <w:t>Description</w:t>
            </w:r>
          </w:p>
        </w:tc>
        <w:tc>
          <w:tcPr>
            <w:tcW w:w="1080" w:type="dxa"/>
            <w:vAlign w:val="center"/>
            <w:hideMark/>
          </w:tcPr>
          <w:p w:rsidR="00BF440C" w:rsidRPr="00FC50AD" w:rsidRDefault="00BF440C" w:rsidP="00FC50AD">
            <w:pPr>
              <w:spacing w:line="278" w:lineRule="auto"/>
              <w:jc w:val="center"/>
              <w:rPr>
                <w:rFonts w:ascii="Calibri" w:hAnsi="Calibri" w:cs="Calibri"/>
                <w:b/>
                <w:bCs/>
                <w:sz w:val="19"/>
                <w:szCs w:val="19"/>
              </w:rPr>
            </w:pPr>
            <w:r w:rsidRPr="00FC50AD">
              <w:rPr>
                <w:rFonts w:ascii="Calibri" w:hAnsi="Calibri" w:cs="Calibri"/>
                <w:b/>
                <w:bCs/>
                <w:sz w:val="19"/>
                <w:szCs w:val="19"/>
              </w:rPr>
              <w:t>Complied (Yes/No)</w:t>
            </w:r>
          </w:p>
        </w:tc>
        <w:tc>
          <w:tcPr>
            <w:tcW w:w="1710" w:type="dxa"/>
            <w:vAlign w:val="center"/>
            <w:hideMark/>
          </w:tcPr>
          <w:p w:rsidR="00BF440C" w:rsidRPr="00FC50AD" w:rsidRDefault="00BF440C" w:rsidP="00FC50AD">
            <w:pPr>
              <w:spacing w:line="278" w:lineRule="auto"/>
              <w:jc w:val="center"/>
              <w:rPr>
                <w:rFonts w:ascii="Calibri" w:hAnsi="Calibri" w:cs="Calibri"/>
                <w:b/>
                <w:bCs/>
                <w:sz w:val="19"/>
                <w:szCs w:val="19"/>
              </w:rPr>
            </w:pPr>
            <w:r w:rsidRPr="00FC50AD">
              <w:rPr>
                <w:rFonts w:ascii="Calibri" w:hAnsi="Calibri" w:cs="Calibri"/>
                <w:b/>
                <w:bCs/>
                <w:sz w:val="19"/>
                <w:szCs w:val="19"/>
              </w:rPr>
              <w:t>Remarks</w:t>
            </w:r>
          </w:p>
        </w:tc>
      </w:tr>
      <w:tr w:rsidR="00BF440C" w:rsidRPr="00FC50AD" w:rsidTr="00FC50AD">
        <w:tc>
          <w:tcPr>
            <w:tcW w:w="1165" w:type="dxa"/>
            <w:hideMark/>
          </w:tcPr>
          <w:p w:rsidR="00BF440C" w:rsidRPr="00FC50AD" w:rsidRDefault="00BF440C" w:rsidP="00FC50AD">
            <w:pPr>
              <w:spacing w:line="278" w:lineRule="auto"/>
              <w:rPr>
                <w:rFonts w:ascii="Calibri" w:hAnsi="Calibri" w:cs="Calibri"/>
                <w:sz w:val="19"/>
                <w:szCs w:val="19"/>
              </w:rPr>
            </w:pPr>
            <w:r w:rsidRPr="00FC50AD">
              <w:rPr>
                <w:rFonts w:ascii="Calibri" w:hAnsi="Calibri" w:cs="Calibri"/>
                <w:sz w:val="19"/>
                <w:szCs w:val="19"/>
              </w:rPr>
              <w:t>Service Time</w:t>
            </w:r>
          </w:p>
        </w:tc>
        <w:tc>
          <w:tcPr>
            <w:tcW w:w="5400" w:type="dxa"/>
            <w:gridSpan w:val="4"/>
            <w:hideMark/>
          </w:tcPr>
          <w:p w:rsidR="00BF440C" w:rsidRPr="00FC50AD" w:rsidRDefault="00BF440C" w:rsidP="00FC50AD">
            <w:pPr>
              <w:spacing w:line="278" w:lineRule="auto"/>
              <w:rPr>
                <w:rFonts w:ascii="Calibri" w:hAnsi="Calibri" w:cs="Calibri"/>
                <w:sz w:val="19"/>
                <w:szCs w:val="19"/>
              </w:rPr>
            </w:pPr>
            <w:r w:rsidRPr="00FC50AD">
              <w:rPr>
                <w:rFonts w:ascii="Calibri" w:hAnsi="Calibri" w:cs="Calibri"/>
                <w:b/>
                <w:bCs/>
                <w:sz w:val="19"/>
                <w:szCs w:val="19"/>
              </w:rPr>
              <w:t>Business hours:</w:t>
            </w:r>
            <w:r w:rsidRPr="00FC50AD">
              <w:rPr>
                <w:rFonts w:ascii="Calibri" w:hAnsi="Calibri" w:cs="Calibri"/>
                <w:sz w:val="19"/>
                <w:szCs w:val="19"/>
              </w:rPr>
              <w:t xml:space="preserve"> Sunday to Thursday 10.00 -18.00 </w:t>
            </w:r>
            <w:r w:rsidRPr="00FC50AD">
              <w:rPr>
                <w:rFonts w:ascii="Calibri" w:hAnsi="Calibri" w:cs="Calibri"/>
                <w:b/>
                <w:bCs/>
                <w:sz w:val="19"/>
                <w:szCs w:val="19"/>
              </w:rPr>
              <w:t>Non-Business Hours and Weekends:</w:t>
            </w:r>
            <w:r w:rsidRPr="00FC50AD">
              <w:rPr>
                <w:rFonts w:ascii="Calibri" w:hAnsi="Calibri" w:cs="Calibri"/>
                <w:sz w:val="19"/>
                <w:szCs w:val="19"/>
              </w:rPr>
              <w:t xml:space="preserve"> Planned Activities &amp; emergency/ Critical Situations (24x7)</w:t>
            </w:r>
          </w:p>
        </w:tc>
        <w:tc>
          <w:tcPr>
            <w:tcW w:w="1080" w:type="dxa"/>
          </w:tcPr>
          <w:p w:rsidR="00BF440C" w:rsidRPr="00FC50AD" w:rsidRDefault="00BF440C" w:rsidP="00FC50AD">
            <w:pPr>
              <w:spacing w:line="278" w:lineRule="auto"/>
              <w:rPr>
                <w:rFonts w:ascii="Calibri" w:hAnsi="Calibri" w:cs="Calibri"/>
                <w:sz w:val="19"/>
                <w:szCs w:val="19"/>
              </w:rPr>
            </w:pPr>
          </w:p>
        </w:tc>
        <w:tc>
          <w:tcPr>
            <w:tcW w:w="1710" w:type="dxa"/>
          </w:tcPr>
          <w:p w:rsidR="00BF440C" w:rsidRPr="00FC50AD" w:rsidRDefault="00BF440C" w:rsidP="00FC50AD">
            <w:pPr>
              <w:spacing w:line="278" w:lineRule="auto"/>
              <w:rPr>
                <w:rFonts w:ascii="Calibri" w:hAnsi="Calibri" w:cs="Calibri"/>
                <w:sz w:val="19"/>
                <w:szCs w:val="19"/>
              </w:rPr>
            </w:pPr>
          </w:p>
        </w:tc>
        <w:bookmarkStart w:id="0" w:name="_GoBack"/>
        <w:bookmarkEnd w:id="0"/>
      </w:tr>
      <w:tr w:rsidR="00BF440C" w:rsidRPr="00FC50AD" w:rsidTr="00FC50AD">
        <w:tc>
          <w:tcPr>
            <w:tcW w:w="1165" w:type="dxa"/>
            <w:vMerge w:val="restart"/>
            <w:hideMark/>
          </w:tcPr>
          <w:p w:rsidR="00BF440C" w:rsidRPr="00FC50AD" w:rsidRDefault="00BF440C" w:rsidP="00FC50AD">
            <w:pPr>
              <w:spacing w:line="278" w:lineRule="auto"/>
              <w:rPr>
                <w:rFonts w:ascii="Calibri" w:hAnsi="Calibri" w:cs="Calibri"/>
                <w:sz w:val="19"/>
                <w:szCs w:val="19"/>
              </w:rPr>
            </w:pPr>
            <w:r w:rsidRPr="00FC50AD">
              <w:rPr>
                <w:rFonts w:ascii="Calibri" w:hAnsi="Calibri" w:cs="Calibri"/>
                <w:sz w:val="19"/>
                <w:szCs w:val="19"/>
              </w:rPr>
              <w:t>SLA Response Time</w:t>
            </w:r>
          </w:p>
        </w:tc>
        <w:tc>
          <w:tcPr>
            <w:tcW w:w="1080" w:type="dxa"/>
            <w:hideMark/>
          </w:tcPr>
          <w:p w:rsidR="00BF440C" w:rsidRPr="00FC50AD" w:rsidRDefault="00BF440C" w:rsidP="00FC50AD">
            <w:pPr>
              <w:spacing w:line="278" w:lineRule="auto"/>
              <w:rPr>
                <w:rFonts w:ascii="Calibri" w:hAnsi="Calibri" w:cs="Calibri"/>
                <w:b/>
                <w:bCs/>
                <w:sz w:val="19"/>
                <w:szCs w:val="19"/>
              </w:rPr>
            </w:pPr>
            <w:r w:rsidRPr="00FC50AD">
              <w:rPr>
                <w:rFonts w:ascii="Calibri" w:hAnsi="Calibri" w:cs="Calibri"/>
                <w:b/>
                <w:bCs/>
                <w:sz w:val="19"/>
                <w:szCs w:val="19"/>
              </w:rPr>
              <w:t>Priority</w:t>
            </w:r>
          </w:p>
        </w:tc>
        <w:tc>
          <w:tcPr>
            <w:tcW w:w="2160" w:type="dxa"/>
            <w:hideMark/>
          </w:tcPr>
          <w:p w:rsidR="00BF440C" w:rsidRPr="00FC50AD" w:rsidRDefault="00BF440C" w:rsidP="00FC50AD">
            <w:pPr>
              <w:spacing w:line="278" w:lineRule="auto"/>
              <w:rPr>
                <w:rFonts w:ascii="Calibri" w:hAnsi="Calibri" w:cs="Calibri"/>
                <w:b/>
                <w:bCs/>
                <w:sz w:val="19"/>
                <w:szCs w:val="19"/>
              </w:rPr>
            </w:pPr>
            <w:r w:rsidRPr="00FC50AD">
              <w:rPr>
                <w:rFonts w:ascii="Calibri" w:hAnsi="Calibri" w:cs="Calibri"/>
                <w:b/>
                <w:bCs/>
                <w:sz w:val="19"/>
                <w:szCs w:val="19"/>
              </w:rPr>
              <w:t>Situation</w:t>
            </w:r>
          </w:p>
        </w:tc>
        <w:tc>
          <w:tcPr>
            <w:tcW w:w="990" w:type="dxa"/>
            <w:hideMark/>
          </w:tcPr>
          <w:p w:rsidR="00BF440C" w:rsidRPr="00FC50AD" w:rsidRDefault="00BF440C" w:rsidP="00FC50AD">
            <w:pPr>
              <w:spacing w:line="278" w:lineRule="auto"/>
              <w:rPr>
                <w:rFonts w:ascii="Calibri" w:hAnsi="Calibri" w:cs="Calibri"/>
                <w:b/>
                <w:bCs/>
                <w:sz w:val="19"/>
                <w:szCs w:val="19"/>
              </w:rPr>
            </w:pPr>
            <w:r w:rsidRPr="00FC50AD">
              <w:rPr>
                <w:rFonts w:ascii="Calibri" w:hAnsi="Calibri" w:cs="Calibri"/>
                <w:b/>
                <w:bCs/>
                <w:sz w:val="19"/>
                <w:szCs w:val="19"/>
              </w:rPr>
              <w:t>Response Time</w:t>
            </w:r>
          </w:p>
        </w:tc>
        <w:tc>
          <w:tcPr>
            <w:tcW w:w="1170" w:type="dxa"/>
            <w:hideMark/>
          </w:tcPr>
          <w:p w:rsidR="00BF440C" w:rsidRPr="00FC50AD" w:rsidRDefault="00BF440C" w:rsidP="00FC50AD">
            <w:pPr>
              <w:spacing w:line="278" w:lineRule="auto"/>
              <w:rPr>
                <w:rFonts w:ascii="Calibri" w:hAnsi="Calibri" w:cs="Calibri"/>
                <w:b/>
                <w:bCs/>
                <w:sz w:val="19"/>
                <w:szCs w:val="19"/>
              </w:rPr>
            </w:pPr>
            <w:r w:rsidRPr="00FC50AD">
              <w:rPr>
                <w:rFonts w:ascii="Calibri" w:hAnsi="Calibri" w:cs="Calibri"/>
                <w:b/>
                <w:bCs/>
                <w:sz w:val="19"/>
                <w:szCs w:val="19"/>
              </w:rPr>
              <w:t>Operation Hrs.</w:t>
            </w:r>
          </w:p>
        </w:tc>
        <w:tc>
          <w:tcPr>
            <w:tcW w:w="1080" w:type="dxa"/>
            <w:vMerge w:val="restart"/>
          </w:tcPr>
          <w:p w:rsidR="00BF440C" w:rsidRPr="00FC50AD" w:rsidRDefault="00BF440C" w:rsidP="00FC50AD">
            <w:pPr>
              <w:spacing w:line="278" w:lineRule="auto"/>
              <w:rPr>
                <w:rFonts w:ascii="Calibri" w:hAnsi="Calibri" w:cs="Calibri"/>
                <w:sz w:val="19"/>
                <w:szCs w:val="19"/>
              </w:rPr>
            </w:pPr>
          </w:p>
        </w:tc>
        <w:tc>
          <w:tcPr>
            <w:tcW w:w="1710" w:type="dxa"/>
            <w:vMerge w:val="restart"/>
          </w:tcPr>
          <w:p w:rsidR="00BF440C" w:rsidRPr="00FC50AD" w:rsidRDefault="00BF440C" w:rsidP="00FC50AD">
            <w:pPr>
              <w:spacing w:line="278" w:lineRule="auto"/>
              <w:rPr>
                <w:rFonts w:ascii="Calibri" w:hAnsi="Calibri" w:cs="Calibri"/>
                <w:sz w:val="19"/>
                <w:szCs w:val="19"/>
              </w:rPr>
            </w:pPr>
          </w:p>
        </w:tc>
      </w:tr>
      <w:tr w:rsidR="00BF440C" w:rsidRPr="00FC50AD" w:rsidTr="00FC50AD">
        <w:tc>
          <w:tcPr>
            <w:tcW w:w="1165" w:type="dxa"/>
            <w:vMerge/>
            <w:hideMark/>
          </w:tcPr>
          <w:p w:rsidR="00BF440C" w:rsidRPr="00FC50AD" w:rsidRDefault="00BF440C" w:rsidP="00FC50AD">
            <w:pPr>
              <w:spacing w:line="278" w:lineRule="auto"/>
              <w:rPr>
                <w:rFonts w:ascii="Calibri" w:hAnsi="Calibri" w:cs="Calibri"/>
                <w:sz w:val="19"/>
                <w:szCs w:val="19"/>
              </w:rPr>
            </w:pPr>
          </w:p>
        </w:tc>
        <w:tc>
          <w:tcPr>
            <w:tcW w:w="1080" w:type="dxa"/>
            <w:hideMark/>
          </w:tcPr>
          <w:p w:rsidR="00BF440C" w:rsidRPr="00FC50AD" w:rsidRDefault="00BF440C" w:rsidP="00FC50AD">
            <w:pPr>
              <w:spacing w:line="278" w:lineRule="auto"/>
              <w:rPr>
                <w:rFonts w:ascii="Calibri" w:hAnsi="Calibri" w:cs="Calibri"/>
                <w:sz w:val="19"/>
                <w:szCs w:val="19"/>
              </w:rPr>
            </w:pPr>
            <w:r w:rsidRPr="00FC50AD">
              <w:rPr>
                <w:rFonts w:ascii="Calibri" w:hAnsi="Calibri" w:cs="Calibri"/>
                <w:sz w:val="19"/>
                <w:szCs w:val="19"/>
              </w:rPr>
              <w:t>Urgent</w:t>
            </w:r>
          </w:p>
        </w:tc>
        <w:tc>
          <w:tcPr>
            <w:tcW w:w="2160" w:type="dxa"/>
            <w:hideMark/>
          </w:tcPr>
          <w:p w:rsidR="00BF440C" w:rsidRPr="00FC50AD" w:rsidRDefault="00BF440C" w:rsidP="00FC50AD">
            <w:pPr>
              <w:spacing w:line="278" w:lineRule="auto"/>
              <w:rPr>
                <w:rFonts w:ascii="Calibri" w:hAnsi="Calibri" w:cs="Calibri"/>
                <w:sz w:val="19"/>
                <w:szCs w:val="19"/>
              </w:rPr>
            </w:pPr>
            <w:r w:rsidRPr="00FC50AD">
              <w:rPr>
                <w:rFonts w:ascii="Calibri" w:hAnsi="Calibri" w:cs="Calibri"/>
                <w:sz w:val="19"/>
                <w:szCs w:val="19"/>
              </w:rPr>
              <w:t>For any kind of urgent situation where unexpected disasters occur with the related service in operational activities due to technical fault/ issue.</w:t>
            </w:r>
          </w:p>
        </w:tc>
        <w:tc>
          <w:tcPr>
            <w:tcW w:w="990" w:type="dxa"/>
            <w:hideMark/>
          </w:tcPr>
          <w:p w:rsidR="00BF440C" w:rsidRPr="00FC50AD" w:rsidRDefault="00BF440C" w:rsidP="00FC50AD">
            <w:pPr>
              <w:spacing w:line="278" w:lineRule="auto"/>
              <w:rPr>
                <w:rFonts w:ascii="Calibri" w:hAnsi="Calibri" w:cs="Calibri"/>
                <w:sz w:val="19"/>
                <w:szCs w:val="19"/>
              </w:rPr>
            </w:pPr>
            <w:r w:rsidRPr="00FC50AD">
              <w:rPr>
                <w:rFonts w:ascii="Calibri" w:hAnsi="Calibri" w:cs="Calibri"/>
                <w:sz w:val="19"/>
                <w:szCs w:val="19"/>
              </w:rPr>
              <w:t>Immediate</w:t>
            </w:r>
          </w:p>
          <w:p w:rsidR="00BF440C" w:rsidRPr="00FC50AD" w:rsidRDefault="00BF440C" w:rsidP="00FC50AD">
            <w:pPr>
              <w:spacing w:line="278" w:lineRule="auto"/>
              <w:rPr>
                <w:rFonts w:ascii="Calibri" w:hAnsi="Calibri" w:cs="Calibri"/>
                <w:sz w:val="19"/>
                <w:szCs w:val="19"/>
              </w:rPr>
            </w:pPr>
            <w:r w:rsidRPr="00FC50AD">
              <w:rPr>
                <w:rFonts w:ascii="Calibri" w:hAnsi="Calibri" w:cs="Calibri"/>
                <w:sz w:val="19"/>
                <w:szCs w:val="19"/>
              </w:rPr>
              <w:t>(Within</w:t>
            </w:r>
          </w:p>
          <w:p w:rsidR="00BF440C" w:rsidRPr="00FC50AD" w:rsidRDefault="00BF440C" w:rsidP="00FC50AD">
            <w:pPr>
              <w:spacing w:line="278" w:lineRule="auto"/>
              <w:rPr>
                <w:rFonts w:ascii="Calibri" w:hAnsi="Calibri" w:cs="Calibri"/>
                <w:sz w:val="19"/>
                <w:szCs w:val="19"/>
              </w:rPr>
            </w:pPr>
            <w:r w:rsidRPr="00FC50AD">
              <w:rPr>
                <w:rFonts w:ascii="Calibri" w:hAnsi="Calibri" w:cs="Calibri"/>
                <w:sz w:val="19"/>
                <w:szCs w:val="19"/>
              </w:rPr>
              <w:t xml:space="preserve">15 </w:t>
            </w:r>
            <w:proofErr w:type="spellStart"/>
            <w:r w:rsidRPr="00FC50AD">
              <w:rPr>
                <w:rFonts w:ascii="Calibri" w:hAnsi="Calibri" w:cs="Calibri"/>
                <w:sz w:val="19"/>
                <w:szCs w:val="19"/>
              </w:rPr>
              <w:t>mins</w:t>
            </w:r>
            <w:proofErr w:type="spellEnd"/>
            <w:r w:rsidRPr="00FC50AD">
              <w:rPr>
                <w:rFonts w:ascii="Calibri" w:hAnsi="Calibri" w:cs="Calibri"/>
                <w:sz w:val="19"/>
                <w:szCs w:val="19"/>
              </w:rPr>
              <w:t>)</w:t>
            </w:r>
          </w:p>
        </w:tc>
        <w:tc>
          <w:tcPr>
            <w:tcW w:w="1170" w:type="dxa"/>
            <w:hideMark/>
          </w:tcPr>
          <w:p w:rsidR="00BF440C" w:rsidRPr="00FC50AD" w:rsidRDefault="00BF440C" w:rsidP="00FC50AD">
            <w:pPr>
              <w:spacing w:line="278" w:lineRule="auto"/>
              <w:rPr>
                <w:rFonts w:ascii="Calibri" w:hAnsi="Calibri" w:cs="Calibri"/>
                <w:sz w:val="19"/>
                <w:szCs w:val="19"/>
              </w:rPr>
            </w:pPr>
            <w:r w:rsidRPr="00FC50AD">
              <w:rPr>
                <w:rFonts w:ascii="Calibri" w:hAnsi="Calibri" w:cs="Calibri"/>
                <w:sz w:val="19"/>
                <w:szCs w:val="19"/>
              </w:rPr>
              <w:t>24x7</w:t>
            </w:r>
          </w:p>
        </w:tc>
        <w:tc>
          <w:tcPr>
            <w:tcW w:w="1080" w:type="dxa"/>
            <w:vMerge/>
            <w:hideMark/>
          </w:tcPr>
          <w:p w:rsidR="00BF440C" w:rsidRPr="00FC50AD" w:rsidRDefault="00BF440C" w:rsidP="00FC50AD">
            <w:pPr>
              <w:spacing w:line="278" w:lineRule="auto"/>
              <w:rPr>
                <w:rFonts w:ascii="Calibri" w:hAnsi="Calibri" w:cs="Calibri"/>
                <w:sz w:val="19"/>
                <w:szCs w:val="19"/>
              </w:rPr>
            </w:pPr>
          </w:p>
        </w:tc>
        <w:tc>
          <w:tcPr>
            <w:tcW w:w="1710" w:type="dxa"/>
            <w:vMerge/>
            <w:hideMark/>
          </w:tcPr>
          <w:p w:rsidR="00BF440C" w:rsidRPr="00FC50AD" w:rsidRDefault="00BF440C" w:rsidP="00FC50AD">
            <w:pPr>
              <w:spacing w:line="278" w:lineRule="auto"/>
              <w:rPr>
                <w:rFonts w:ascii="Calibri" w:hAnsi="Calibri" w:cs="Calibri"/>
                <w:sz w:val="19"/>
                <w:szCs w:val="19"/>
              </w:rPr>
            </w:pPr>
          </w:p>
        </w:tc>
      </w:tr>
      <w:tr w:rsidR="00BF440C" w:rsidRPr="00FC50AD" w:rsidTr="00FC50AD">
        <w:tc>
          <w:tcPr>
            <w:tcW w:w="1165" w:type="dxa"/>
            <w:vMerge/>
            <w:hideMark/>
          </w:tcPr>
          <w:p w:rsidR="00BF440C" w:rsidRPr="00FC50AD" w:rsidRDefault="00BF440C" w:rsidP="00FC50AD">
            <w:pPr>
              <w:spacing w:line="278" w:lineRule="auto"/>
              <w:rPr>
                <w:rFonts w:ascii="Calibri" w:hAnsi="Calibri" w:cs="Calibri"/>
                <w:sz w:val="19"/>
                <w:szCs w:val="19"/>
              </w:rPr>
            </w:pPr>
          </w:p>
        </w:tc>
        <w:tc>
          <w:tcPr>
            <w:tcW w:w="1080" w:type="dxa"/>
            <w:hideMark/>
          </w:tcPr>
          <w:p w:rsidR="00BF440C" w:rsidRPr="00FC50AD" w:rsidRDefault="00BF440C" w:rsidP="00FC50AD">
            <w:pPr>
              <w:spacing w:line="278" w:lineRule="auto"/>
              <w:rPr>
                <w:rFonts w:ascii="Calibri" w:hAnsi="Calibri" w:cs="Calibri"/>
                <w:sz w:val="19"/>
                <w:szCs w:val="19"/>
              </w:rPr>
            </w:pPr>
            <w:r w:rsidRPr="00FC50AD">
              <w:rPr>
                <w:rFonts w:ascii="Calibri" w:hAnsi="Calibri" w:cs="Calibri"/>
                <w:sz w:val="19"/>
                <w:szCs w:val="19"/>
              </w:rPr>
              <w:t>High</w:t>
            </w:r>
          </w:p>
        </w:tc>
        <w:tc>
          <w:tcPr>
            <w:tcW w:w="2160" w:type="dxa"/>
            <w:hideMark/>
          </w:tcPr>
          <w:p w:rsidR="00BF440C" w:rsidRPr="00FC50AD" w:rsidRDefault="00BF440C" w:rsidP="00FC50AD">
            <w:pPr>
              <w:spacing w:line="278" w:lineRule="auto"/>
              <w:rPr>
                <w:rFonts w:ascii="Calibri" w:hAnsi="Calibri" w:cs="Calibri"/>
                <w:sz w:val="19"/>
                <w:szCs w:val="19"/>
              </w:rPr>
            </w:pPr>
            <w:r w:rsidRPr="00FC50AD">
              <w:rPr>
                <w:rFonts w:ascii="Calibri" w:hAnsi="Calibri" w:cs="Calibri"/>
                <w:sz w:val="19"/>
                <w:szCs w:val="19"/>
              </w:rPr>
              <w:t>Server down situation, which is related to the service, whereby the customer is unable to do production work, and a workaround is not available.</w:t>
            </w:r>
          </w:p>
        </w:tc>
        <w:tc>
          <w:tcPr>
            <w:tcW w:w="990" w:type="dxa"/>
            <w:hideMark/>
          </w:tcPr>
          <w:p w:rsidR="00BF440C" w:rsidRPr="00FC50AD" w:rsidRDefault="00BF440C" w:rsidP="00FC50AD">
            <w:pPr>
              <w:spacing w:line="278" w:lineRule="auto"/>
              <w:rPr>
                <w:rFonts w:ascii="Calibri" w:hAnsi="Calibri" w:cs="Calibri"/>
                <w:sz w:val="19"/>
                <w:szCs w:val="19"/>
              </w:rPr>
            </w:pPr>
            <w:r w:rsidRPr="00FC50AD">
              <w:rPr>
                <w:rFonts w:ascii="Calibri" w:hAnsi="Calibri" w:cs="Calibri"/>
                <w:sz w:val="19"/>
                <w:szCs w:val="19"/>
              </w:rPr>
              <w:t>Within 1 Hour</w:t>
            </w:r>
          </w:p>
        </w:tc>
        <w:tc>
          <w:tcPr>
            <w:tcW w:w="1170" w:type="dxa"/>
            <w:hideMark/>
          </w:tcPr>
          <w:p w:rsidR="00BF440C" w:rsidRPr="00FC50AD" w:rsidRDefault="00BF440C" w:rsidP="00FC50AD">
            <w:pPr>
              <w:spacing w:line="278" w:lineRule="auto"/>
              <w:rPr>
                <w:rFonts w:ascii="Calibri" w:hAnsi="Calibri" w:cs="Calibri"/>
                <w:sz w:val="19"/>
                <w:szCs w:val="19"/>
              </w:rPr>
            </w:pPr>
            <w:r w:rsidRPr="00FC50AD">
              <w:rPr>
                <w:rFonts w:ascii="Calibri" w:hAnsi="Calibri" w:cs="Calibri"/>
                <w:sz w:val="19"/>
                <w:szCs w:val="19"/>
              </w:rPr>
              <w:t>24x7</w:t>
            </w:r>
          </w:p>
        </w:tc>
        <w:tc>
          <w:tcPr>
            <w:tcW w:w="1080" w:type="dxa"/>
            <w:vMerge/>
            <w:hideMark/>
          </w:tcPr>
          <w:p w:rsidR="00BF440C" w:rsidRPr="00FC50AD" w:rsidRDefault="00BF440C" w:rsidP="00FC50AD">
            <w:pPr>
              <w:spacing w:line="278" w:lineRule="auto"/>
              <w:rPr>
                <w:rFonts w:ascii="Calibri" w:hAnsi="Calibri" w:cs="Calibri"/>
                <w:sz w:val="19"/>
                <w:szCs w:val="19"/>
              </w:rPr>
            </w:pPr>
          </w:p>
        </w:tc>
        <w:tc>
          <w:tcPr>
            <w:tcW w:w="1710" w:type="dxa"/>
            <w:vMerge/>
            <w:hideMark/>
          </w:tcPr>
          <w:p w:rsidR="00BF440C" w:rsidRPr="00FC50AD" w:rsidRDefault="00BF440C" w:rsidP="00FC50AD">
            <w:pPr>
              <w:spacing w:line="278" w:lineRule="auto"/>
              <w:rPr>
                <w:rFonts w:ascii="Calibri" w:hAnsi="Calibri" w:cs="Calibri"/>
                <w:sz w:val="19"/>
                <w:szCs w:val="19"/>
              </w:rPr>
            </w:pPr>
          </w:p>
        </w:tc>
      </w:tr>
      <w:tr w:rsidR="00BF440C" w:rsidRPr="00FC50AD" w:rsidTr="00FC50AD">
        <w:tc>
          <w:tcPr>
            <w:tcW w:w="1165" w:type="dxa"/>
            <w:vMerge/>
            <w:hideMark/>
          </w:tcPr>
          <w:p w:rsidR="00BF440C" w:rsidRPr="00FC50AD" w:rsidRDefault="00BF440C" w:rsidP="00FC50AD">
            <w:pPr>
              <w:spacing w:line="278" w:lineRule="auto"/>
              <w:rPr>
                <w:rFonts w:ascii="Calibri" w:hAnsi="Calibri" w:cs="Calibri"/>
                <w:sz w:val="19"/>
                <w:szCs w:val="19"/>
              </w:rPr>
            </w:pPr>
          </w:p>
        </w:tc>
        <w:tc>
          <w:tcPr>
            <w:tcW w:w="1080" w:type="dxa"/>
            <w:hideMark/>
          </w:tcPr>
          <w:p w:rsidR="00BF440C" w:rsidRPr="00FC50AD" w:rsidRDefault="00BF440C" w:rsidP="00FC50AD">
            <w:pPr>
              <w:spacing w:line="278" w:lineRule="auto"/>
              <w:rPr>
                <w:rFonts w:ascii="Calibri" w:hAnsi="Calibri" w:cs="Calibri"/>
                <w:sz w:val="19"/>
                <w:szCs w:val="19"/>
              </w:rPr>
            </w:pPr>
            <w:r w:rsidRPr="00FC50AD">
              <w:rPr>
                <w:rFonts w:ascii="Calibri" w:hAnsi="Calibri" w:cs="Calibri"/>
                <w:sz w:val="19"/>
                <w:szCs w:val="19"/>
              </w:rPr>
              <w:t>Medium</w:t>
            </w:r>
          </w:p>
        </w:tc>
        <w:tc>
          <w:tcPr>
            <w:tcW w:w="2160" w:type="dxa"/>
            <w:hideMark/>
          </w:tcPr>
          <w:p w:rsidR="00BF440C" w:rsidRPr="00FC50AD" w:rsidRDefault="00BF440C" w:rsidP="00FC50AD">
            <w:pPr>
              <w:spacing w:line="278" w:lineRule="auto"/>
              <w:rPr>
                <w:rFonts w:ascii="Calibri" w:hAnsi="Calibri" w:cs="Calibri"/>
                <w:sz w:val="19"/>
                <w:szCs w:val="19"/>
              </w:rPr>
            </w:pPr>
            <w:r w:rsidRPr="00FC50AD">
              <w:rPr>
                <w:rFonts w:ascii="Calibri" w:hAnsi="Calibri" w:cs="Calibri"/>
                <w:sz w:val="19"/>
                <w:szCs w:val="19"/>
              </w:rPr>
              <w:t>A major function is unusable from high-available servers with the related service and the customer can do production work reasonably.</w:t>
            </w:r>
          </w:p>
        </w:tc>
        <w:tc>
          <w:tcPr>
            <w:tcW w:w="990" w:type="dxa"/>
            <w:hideMark/>
          </w:tcPr>
          <w:p w:rsidR="00BF440C" w:rsidRPr="00FC50AD" w:rsidRDefault="00BF440C" w:rsidP="00FC50AD">
            <w:pPr>
              <w:spacing w:line="278" w:lineRule="auto"/>
              <w:rPr>
                <w:rFonts w:ascii="Calibri" w:hAnsi="Calibri" w:cs="Calibri"/>
                <w:sz w:val="19"/>
                <w:szCs w:val="19"/>
              </w:rPr>
            </w:pPr>
            <w:r w:rsidRPr="00FC50AD">
              <w:rPr>
                <w:rFonts w:ascii="Calibri" w:hAnsi="Calibri" w:cs="Calibri"/>
                <w:sz w:val="19"/>
                <w:szCs w:val="19"/>
              </w:rPr>
              <w:t>Within 2 Hours</w:t>
            </w:r>
          </w:p>
        </w:tc>
        <w:tc>
          <w:tcPr>
            <w:tcW w:w="1170" w:type="dxa"/>
            <w:vMerge w:val="restart"/>
            <w:hideMark/>
          </w:tcPr>
          <w:p w:rsidR="00BF440C" w:rsidRPr="00FC50AD" w:rsidRDefault="00BF440C" w:rsidP="00FC50AD">
            <w:pPr>
              <w:spacing w:line="278" w:lineRule="auto"/>
              <w:rPr>
                <w:rFonts w:ascii="Calibri" w:hAnsi="Calibri" w:cs="Calibri"/>
                <w:sz w:val="19"/>
                <w:szCs w:val="19"/>
              </w:rPr>
            </w:pPr>
            <w:r w:rsidRPr="00FC50AD">
              <w:rPr>
                <w:rFonts w:ascii="Calibri" w:hAnsi="Calibri" w:cs="Calibri"/>
                <w:sz w:val="19"/>
                <w:szCs w:val="19"/>
              </w:rPr>
              <w:t>Sunday to Thursday 10.00 -18.00</w:t>
            </w:r>
          </w:p>
        </w:tc>
        <w:tc>
          <w:tcPr>
            <w:tcW w:w="1080" w:type="dxa"/>
            <w:vMerge/>
            <w:hideMark/>
          </w:tcPr>
          <w:p w:rsidR="00BF440C" w:rsidRPr="00FC50AD" w:rsidRDefault="00BF440C" w:rsidP="00FC50AD">
            <w:pPr>
              <w:spacing w:line="278" w:lineRule="auto"/>
              <w:rPr>
                <w:rFonts w:ascii="Calibri" w:hAnsi="Calibri" w:cs="Calibri"/>
                <w:sz w:val="19"/>
                <w:szCs w:val="19"/>
              </w:rPr>
            </w:pPr>
          </w:p>
        </w:tc>
        <w:tc>
          <w:tcPr>
            <w:tcW w:w="1710" w:type="dxa"/>
            <w:vMerge/>
            <w:hideMark/>
          </w:tcPr>
          <w:p w:rsidR="00BF440C" w:rsidRPr="00FC50AD" w:rsidRDefault="00BF440C" w:rsidP="00FC50AD">
            <w:pPr>
              <w:spacing w:line="278" w:lineRule="auto"/>
              <w:rPr>
                <w:rFonts w:ascii="Calibri" w:hAnsi="Calibri" w:cs="Calibri"/>
                <w:sz w:val="19"/>
                <w:szCs w:val="19"/>
              </w:rPr>
            </w:pPr>
          </w:p>
        </w:tc>
      </w:tr>
      <w:tr w:rsidR="00BF440C" w:rsidRPr="00FC50AD" w:rsidTr="00FC50AD">
        <w:tc>
          <w:tcPr>
            <w:tcW w:w="1165" w:type="dxa"/>
            <w:vMerge/>
            <w:hideMark/>
          </w:tcPr>
          <w:p w:rsidR="00BF440C" w:rsidRPr="00FC50AD" w:rsidRDefault="00BF440C" w:rsidP="00FC50AD">
            <w:pPr>
              <w:spacing w:line="278" w:lineRule="auto"/>
              <w:rPr>
                <w:rFonts w:ascii="Calibri" w:hAnsi="Calibri" w:cs="Calibri"/>
                <w:sz w:val="19"/>
                <w:szCs w:val="19"/>
              </w:rPr>
            </w:pPr>
          </w:p>
        </w:tc>
        <w:tc>
          <w:tcPr>
            <w:tcW w:w="1080" w:type="dxa"/>
            <w:hideMark/>
          </w:tcPr>
          <w:p w:rsidR="00BF440C" w:rsidRPr="00FC50AD" w:rsidRDefault="00BF440C" w:rsidP="00FC50AD">
            <w:pPr>
              <w:spacing w:line="278" w:lineRule="auto"/>
              <w:rPr>
                <w:rFonts w:ascii="Calibri" w:hAnsi="Calibri" w:cs="Calibri"/>
                <w:sz w:val="19"/>
                <w:szCs w:val="19"/>
              </w:rPr>
            </w:pPr>
            <w:r w:rsidRPr="00FC50AD">
              <w:rPr>
                <w:rFonts w:ascii="Calibri" w:hAnsi="Calibri" w:cs="Calibri"/>
                <w:sz w:val="19"/>
                <w:szCs w:val="19"/>
              </w:rPr>
              <w:t>Low</w:t>
            </w:r>
          </w:p>
        </w:tc>
        <w:tc>
          <w:tcPr>
            <w:tcW w:w="2160" w:type="dxa"/>
            <w:hideMark/>
          </w:tcPr>
          <w:p w:rsidR="00BF440C" w:rsidRPr="00FC50AD" w:rsidRDefault="00BF440C" w:rsidP="00FC50AD">
            <w:pPr>
              <w:spacing w:line="278" w:lineRule="auto"/>
              <w:rPr>
                <w:rFonts w:ascii="Calibri" w:hAnsi="Calibri" w:cs="Calibri"/>
                <w:sz w:val="19"/>
                <w:szCs w:val="19"/>
              </w:rPr>
            </w:pPr>
            <w:r w:rsidRPr="00FC50AD">
              <w:rPr>
                <w:rFonts w:ascii="Calibri" w:hAnsi="Calibri" w:cs="Calibri"/>
                <w:sz w:val="19"/>
                <w:szCs w:val="19"/>
              </w:rPr>
              <w:t>The problems which have no immediate effect or new feature enablement and change management with the related service.</w:t>
            </w:r>
          </w:p>
        </w:tc>
        <w:tc>
          <w:tcPr>
            <w:tcW w:w="990" w:type="dxa"/>
            <w:hideMark/>
          </w:tcPr>
          <w:p w:rsidR="00BF440C" w:rsidRPr="00FC50AD" w:rsidRDefault="00BF440C" w:rsidP="00FC50AD">
            <w:pPr>
              <w:spacing w:line="278" w:lineRule="auto"/>
              <w:rPr>
                <w:rFonts w:ascii="Calibri" w:hAnsi="Calibri" w:cs="Calibri"/>
                <w:sz w:val="19"/>
                <w:szCs w:val="19"/>
              </w:rPr>
            </w:pPr>
            <w:r w:rsidRPr="00FC50AD">
              <w:rPr>
                <w:rFonts w:ascii="Calibri" w:hAnsi="Calibri" w:cs="Calibri"/>
                <w:sz w:val="19"/>
                <w:szCs w:val="19"/>
              </w:rPr>
              <w:t>Within 4 Hours</w:t>
            </w:r>
          </w:p>
        </w:tc>
        <w:tc>
          <w:tcPr>
            <w:tcW w:w="1170" w:type="dxa"/>
            <w:vMerge/>
            <w:hideMark/>
          </w:tcPr>
          <w:p w:rsidR="00BF440C" w:rsidRPr="00FC50AD" w:rsidRDefault="00BF440C" w:rsidP="00FC50AD">
            <w:pPr>
              <w:spacing w:line="278" w:lineRule="auto"/>
              <w:rPr>
                <w:rFonts w:ascii="Calibri" w:hAnsi="Calibri" w:cs="Calibri"/>
                <w:sz w:val="19"/>
                <w:szCs w:val="19"/>
              </w:rPr>
            </w:pPr>
          </w:p>
        </w:tc>
        <w:tc>
          <w:tcPr>
            <w:tcW w:w="1080" w:type="dxa"/>
            <w:vMerge/>
            <w:hideMark/>
          </w:tcPr>
          <w:p w:rsidR="00BF440C" w:rsidRPr="00FC50AD" w:rsidRDefault="00BF440C" w:rsidP="00FC50AD">
            <w:pPr>
              <w:spacing w:line="278" w:lineRule="auto"/>
              <w:rPr>
                <w:rFonts w:ascii="Calibri" w:hAnsi="Calibri" w:cs="Calibri"/>
                <w:sz w:val="19"/>
                <w:szCs w:val="19"/>
              </w:rPr>
            </w:pPr>
          </w:p>
        </w:tc>
        <w:tc>
          <w:tcPr>
            <w:tcW w:w="1710" w:type="dxa"/>
            <w:vMerge/>
            <w:hideMark/>
          </w:tcPr>
          <w:p w:rsidR="00BF440C" w:rsidRPr="00FC50AD" w:rsidRDefault="00BF440C" w:rsidP="00FC50AD">
            <w:pPr>
              <w:spacing w:line="278" w:lineRule="auto"/>
              <w:rPr>
                <w:rFonts w:ascii="Calibri" w:hAnsi="Calibri" w:cs="Calibri"/>
                <w:sz w:val="19"/>
                <w:szCs w:val="19"/>
              </w:rPr>
            </w:pPr>
          </w:p>
        </w:tc>
      </w:tr>
      <w:tr w:rsidR="00BF440C" w:rsidRPr="00FC50AD" w:rsidTr="00FC50AD">
        <w:trPr>
          <w:trHeight w:val="476"/>
        </w:trPr>
        <w:tc>
          <w:tcPr>
            <w:tcW w:w="1165" w:type="dxa"/>
            <w:hideMark/>
          </w:tcPr>
          <w:p w:rsidR="00BF440C" w:rsidRPr="00FC50AD" w:rsidRDefault="00BF440C" w:rsidP="00FC50AD">
            <w:pPr>
              <w:spacing w:line="278" w:lineRule="auto"/>
              <w:rPr>
                <w:rFonts w:ascii="Calibri" w:hAnsi="Calibri" w:cs="Calibri"/>
                <w:sz w:val="19"/>
                <w:szCs w:val="19"/>
              </w:rPr>
            </w:pPr>
            <w:r w:rsidRPr="00FC50AD">
              <w:rPr>
                <w:rFonts w:ascii="Calibri" w:hAnsi="Calibri" w:cs="Calibri"/>
                <w:sz w:val="19"/>
                <w:szCs w:val="19"/>
              </w:rPr>
              <w:t>Service Delivery</w:t>
            </w:r>
          </w:p>
        </w:tc>
        <w:tc>
          <w:tcPr>
            <w:tcW w:w="5400" w:type="dxa"/>
            <w:gridSpan w:val="4"/>
            <w:hideMark/>
          </w:tcPr>
          <w:p w:rsidR="00BF440C" w:rsidRPr="00FC50AD" w:rsidRDefault="00BF440C" w:rsidP="00FC50AD">
            <w:pPr>
              <w:spacing w:line="278" w:lineRule="auto"/>
              <w:rPr>
                <w:rFonts w:ascii="Calibri" w:hAnsi="Calibri" w:cs="Calibri"/>
                <w:sz w:val="19"/>
                <w:szCs w:val="19"/>
              </w:rPr>
            </w:pPr>
            <w:r w:rsidRPr="00FC50AD">
              <w:rPr>
                <w:rFonts w:ascii="Calibri" w:hAnsi="Calibri" w:cs="Calibri"/>
                <w:sz w:val="19"/>
                <w:szCs w:val="19"/>
              </w:rPr>
              <w:t>Bidder should provide On-Site Support as per SLA Response Time.</w:t>
            </w:r>
          </w:p>
        </w:tc>
        <w:tc>
          <w:tcPr>
            <w:tcW w:w="1080" w:type="dxa"/>
          </w:tcPr>
          <w:p w:rsidR="00BF440C" w:rsidRPr="00FC50AD" w:rsidRDefault="00BF440C" w:rsidP="00FC50AD">
            <w:pPr>
              <w:spacing w:line="278" w:lineRule="auto"/>
              <w:rPr>
                <w:rFonts w:ascii="Calibri" w:hAnsi="Calibri" w:cs="Calibri"/>
                <w:sz w:val="19"/>
                <w:szCs w:val="19"/>
              </w:rPr>
            </w:pPr>
          </w:p>
        </w:tc>
        <w:tc>
          <w:tcPr>
            <w:tcW w:w="1710" w:type="dxa"/>
          </w:tcPr>
          <w:p w:rsidR="00BF440C" w:rsidRPr="00FC50AD" w:rsidRDefault="00BF440C" w:rsidP="00FC50AD">
            <w:pPr>
              <w:spacing w:line="278" w:lineRule="auto"/>
              <w:rPr>
                <w:rFonts w:ascii="Calibri" w:hAnsi="Calibri" w:cs="Calibri"/>
                <w:sz w:val="19"/>
                <w:szCs w:val="19"/>
              </w:rPr>
            </w:pPr>
          </w:p>
        </w:tc>
      </w:tr>
    </w:tbl>
    <w:p w:rsidR="00FC50AD" w:rsidRDefault="00FC50AD" w:rsidP="00BF440C">
      <w:pPr>
        <w:rPr>
          <w:rFonts w:ascii="Calibri" w:hAnsi="Calibri" w:cs="Calibri"/>
          <w:b/>
          <w:bCs/>
          <w:szCs w:val="28"/>
          <w:u w:val="single"/>
        </w:rPr>
      </w:pPr>
    </w:p>
    <w:p w:rsidR="00FC50AD" w:rsidRDefault="00FC50AD" w:rsidP="00BF440C">
      <w:pPr>
        <w:rPr>
          <w:rFonts w:ascii="Calibri" w:hAnsi="Calibri" w:cs="Calibri"/>
          <w:b/>
          <w:bCs/>
          <w:szCs w:val="28"/>
          <w:u w:val="single"/>
        </w:rPr>
      </w:pPr>
    </w:p>
    <w:p w:rsidR="00BF440C" w:rsidRPr="00FC50AD" w:rsidRDefault="00BF440C" w:rsidP="00BF440C">
      <w:pPr>
        <w:rPr>
          <w:rFonts w:ascii="Calibri" w:hAnsi="Calibri" w:cs="Calibri"/>
          <w:b/>
          <w:bCs/>
          <w:szCs w:val="28"/>
          <w:u w:val="single"/>
        </w:rPr>
      </w:pPr>
      <w:r w:rsidRPr="00FC50AD">
        <w:rPr>
          <w:rFonts w:ascii="Calibri" w:hAnsi="Calibri" w:cs="Calibri"/>
          <w:b/>
          <w:bCs/>
          <w:szCs w:val="28"/>
          <w:u w:val="single"/>
        </w:rPr>
        <w:t>Bidder Eligibility Criteria</w:t>
      </w:r>
    </w:p>
    <w:tbl>
      <w:tblPr>
        <w:tblW w:w="5000" w:type="pct"/>
        <w:tblLook w:val="04A0" w:firstRow="1" w:lastRow="0" w:firstColumn="1" w:lastColumn="0" w:noHBand="0" w:noVBand="1"/>
      </w:tblPr>
      <w:tblGrid>
        <w:gridCol w:w="680"/>
        <w:gridCol w:w="5075"/>
        <w:gridCol w:w="1259"/>
        <w:gridCol w:w="2336"/>
      </w:tblGrid>
      <w:tr w:rsidR="00BF440C" w:rsidRPr="00FC50AD" w:rsidTr="003648B8">
        <w:trPr>
          <w:trHeight w:val="300"/>
        </w:trPr>
        <w:tc>
          <w:tcPr>
            <w:tcW w:w="364" w:type="pct"/>
            <w:tcBorders>
              <w:top w:val="single" w:sz="4" w:space="0" w:color="auto"/>
              <w:left w:val="single" w:sz="4" w:space="0" w:color="auto"/>
              <w:bottom w:val="single" w:sz="4" w:space="0" w:color="auto"/>
              <w:right w:val="single" w:sz="4" w:space="0" w:color="auto"/>
            </w:tcBorders>
            <w:vAlign w:val="center"/>
            <w:hideMark/>
          </w:tcPr>
          <w:p w:rsidR="00BF440C" w:rsidRPr="00FC50AD" w:rsidRDefault="00BF440C" w:rsidP="00FC50AD">
            <w:pPr>
              <w:spacing w:after="0" w:line="240" w:lineRule="auto"/>
              <w:jc w:val="center"/>
              <w:rPr>
                <w:rFonts w:ascii="Calibri" w:eastAsia="Times New Roman" w:hAnsi="Calibri" w:cs="Calibri"/>
                <w:b/>
                <w:bCs/>
                <w:color w:val="000000"/>
                <w:kern w:val="0"/>
                <w:sz w:val="19"/>
                <w:szCs w:val="19"/>
                <w14:ligatures w14:val="none"/>
              </w:rPr>
            </w:pPr>
            <w:r w:rsidRPr="00FC50AD">
              <w:rPr>
                <w:rFonts w:ascii="Calibri" w:eastAsia="Times New Roman" w:hAnsi="Calibri" w:cs="Calibri"/>
                <w:b/>
                <w:bCs/>
                <w:color w:val="000000"/>
                <w:kern w:val="0"/>
                <w:sz w:val="19"/>
                <w:szCs w:val="19"/>
                <w14:ligatures w14:val="none"/>
              </w:rPr>
              <w:t>Sl. No</w:t>
            </w:r>
          </w:p>
        </w:tc>
        <w:tc>
          <w:tcPr>
            <w:tcW w:w="2714" w:type="pct"/>
            <w:tcBorders>
              <w:top w:val="single" w:sz="4" w:space="0" w:color="auto"/>
              <w:left w:val="nil"/>
              <w:bottom w:val="single" w:sz="4" w:space="0" w:color="auto"/>
              <w:right w:val="single" w:sz="4" w:space="0" w:color="auto"/>
            </w:tcBorders>
            <w:vAlign w:val="center"/>
            <w:hideMark/>
          </w:tcPr>
          <w:p w:rsidR="00BF440C" w:rsidRPr="00FC50AD" w:rsidRDefault="00BF440C" w:rsidP="00FC50AD">
            <w:pPr>
              <w:spacing w:after="0" w:line="240" w:lineRule="auto"/>
              <w:jc w:val="center"/>
              <w:rPr>
                <w:rFonts w:ascii="Calibri" w:eastAsia="Times New Roman" w:hAnsi="Calibri" w:cs="Calibri"/>
                <w:b/>
                <w:bCs/>
                <w:color w:val="000000"/>
                <w:kern w:val="0"/>
                <w:sz w:val="19"/>
                <w:szCs w:val="19"/>
                <w14:ligatures w14:val="none"/>
              </w:rPr>
            </w:pPr>
            <w:r w:rsidRPr="00FC50AD">
              <w:rPr>
                <w:rFonts w:ascii="Calibri" w:eastAsia="Times New Roman" w:hAnsi="Calibri" w:cs="Calibri"/>
                <w:b/>
                <w:bCs/>
                <w:color w:val="000000"/>
                <w:kern w:val="0"/>
                <w:sz w:val="19"/>
                <w:szCs w:val="19"/>
                <w14:ligatures w14:val="none"/>
              </w:rPr>
              <w:t>Eligibility Criteria</w:t>
            </w:r>
          </w:p>
        </w:tc>
        <w:tc>
          <w:tcPr>
            <w:tcW w:w="673" w:type="pct"/>
            <w:tcBorders>
              <w:top w:val="single" w:sz="4" w:space="0" w:color="auto"/>
              <w:left w:val="nil"/>
              <w:bottom w:val="single" w:sz="4" w:space="0" w:color="auto"/>
              <w:right w:val="single" w:sz="4" w:space="0" w:color="auto"/>
            </w:tcBorders>
            <w:vAlign w:val="center"/>
            <w:hideMark/>
          </w:tcPr>
          <w:p w:rsidR="00BF440C" w:rsidRPr="00FC50AD" w:rsidRDefault="00BF440C" w:rsidP="00FC50AD">
            <w:pPr>
              <w:spacing w:after="0" w:line="240" w:lineRule="auto"/>
              <w:jc w:val="center"/>
              <w:rPr>
                <w:rFonts w:ascii="Calibri" w:eastAsia="Times New Roman" w:hAnsi="Calibri" w:cs="Calibri"/>
                <w:b/>
                <w:bCs/>
                <w:color w:val="000000"/>
                <w:kern w:val="0"/>
                <w:sz w:val="19"/>
                <w:szCs w:val="19"/>
                <w14:ligatures w14:val="none"/>
              </w:rPr>
            </w:pPr>
            <w:r w:rsidRPr="00FC50AD">
              <w:rPr>
                <w:rFonts w:ascii="Calibri" w:eastAsia="Times New Roman" w:hAnsi="Calibri" w:cs="Calibri"/>
                <w:b/>
                <w:bCs/>
                <w:color w:val="000000"/>
                <w:kern w:val="0"/>
                <w:sz w:val="19"/>
                <w:szCs w:val="19"/>
                <w14:ligatures w14:val="none"/>
              </w:rPr>
              <w:t>Complied (Yes/No)</w:t>
            </w:r>
          </w:p>
        </w:tc>
        <w:tc>
          <w:tcPr>
            <w:tcW w:w="1249" w:type="pct"/>
            <w:tcBorders>
              <w:top w:val="single" w:sz="4" w:space="0" w:color="auto"/>
              <w:left w:val="nil"/>
              <w:bottom w:val="single" w:sz="4" w:space="0" w:color="auto"/>
              <w:right w:val="single" w:sz="4" w:space="0" w:color="auto"/>
            </w:tcBorders>
            <w:vAlign w:val="center"/>
            <w:hideMark/>
          </w:tcPr>
          <w:p w:rsidR="00BF440C" w:rsidRPr="00FC50AD" w:rsidRDefault="00BF440C" w:rsidP="00FC50AD">
            <w:pPr>
              <w:spacing w:after="0" w:line="240" w:lineRule="auto"/>
              <w:jc w:val="center"/>
              <w:rPr>
                <w:rFonts w:ascii="Calibri" w:eastAsia="Times New Roman" w:hAnsi="Calibri" w:cs="Calibri"/>
                <w:b/>
                <w:bCs/>
                <w:color w:val="000000"/>
                <w:kern w:val="0"/>
                <w:sz w:val="19"/>
                <w:szCs w:val="19"/>
                <w14:ligatures w14:val="none"/>
              </w:rPr>
            </w:pPr>
            <w:r w:rsidRPr="00FC50AD">
              <w:rPr>
                <w:rFonts w:ascii="Calibri" w:eastAsia="Times New Roman" w:hAnsi="Calibri" w:cs="Calibri"/>
                <w:b/>
                <w:bCs/>
                <w:color w:val="000000"/>
                <w:kern w:val="0"/>
                <w:sz w:val="19"/>
                <w:szCs w:val="19"/>
                <w14:ligatures w14:val="none"/>
              </w:rPr>
              <w:t>Remarks</w:t>
            </w:r>
          </w:p>
        </w:tc>
      </w:tr>
      <w:tr w:rsidR="00BF440C" w:rsidRPr="00FC50AD" w:rsidTr="003648B8">
        <w:trPr>
          <w:trHeight w:val="300"/>
        </w:trPr>
        <w:tc>
          <w:tcPr>
            <w:tcW w:w="364" w:type="pct"/>
            <w:tcBorders>
              <w:top w:val="nil"/>
              <w:left w:val="single" w:sz="4" w:space="0" w:color="auto"/>
              <w:bottom w:val="single" w:sz="4" w:space="0" w:color="auto"/>
              <w:right w:val="single" w:sz="4" w:space="0" w:color="auto"/>
            </w:tcBorders>
            <w:vAlign w:val="center"/>
            <w:hideMark/>
          </w:tcPr>
          <w:p w:rsidR="00BF440C" w:rsidRPr="00FC50AD" w:rsidRDefault="00BF440C" w:rsidP="003648B8">
            <w:pPr>
              <w:spacing w:after="0" w:line="240" w:lineRule="auto"/>
              <w:jc w:val="center"/>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1</w:t>
            </w:r>
          </w:p>
        </w:tc>
        <w:tc>
          <w:tcPr>
            <w:tcW w:w="2714" w:type="pct"/>
            <w:tcBorders>
              <w:top w:val="nil"/>
              <w:left w:val="nil"/>
              <w:bottom w:val="single" w:sz="4" w:space="0" w:color="auto"/>
              <w:right w:val="single" w:sz="4" w:space="0" w:color="auto"/>
            </w:tcBorders>
            <w:vAlign w:val="center"/>
            <w:hideMark/>
          </w:tcPr>
          <w:p w:rsidR="00BF440C" w:rsidRPr="00FC50AD" w:rsidRDefault="00BF440C" w:rsidP="003648B8">
            <w:pPr>
              <w:spacing w:after="0" w:line="240" w:lineRule="auto"/>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The bidder should be an active Microsoft Partner.</w:t>
            </w:r>
          </w:p>
        </w:tc>
        <w:tc>
          <w:tcPr>
            <w:tcW w:w="673" w:type="pct"/>
            <w:tcBorders>
              <w:top w:val="nil"/>
              <w:left w:val="nil"/>
              <w:bottom w:val="single" w:sz="4" w:space="0" w:color="auto"/>
              <w:right w:val="single" w:sz="4" w:space="0" w:color="auto"/>
            </w:tcBorders>
            <w:vAlign w:val="center"/>
            <w:hideMark/>
          </w:tcPr>
          <w:p w:rsidR="00BF440C" w:rsidRPr="00FC50AD" w:rsidRDefault="00BF440C" w:rsidP="003648B8">
            <w:pPr>
              <w:spacing w:after="0" w:line="240" w:lineRule="auto"/>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 </w:t>
            </w:r>
          </w:p>
        </w:tc>
        <w:tc>
          <w:tcPr>
            <w:tcW w:w="1249" w:type="pct"/>
            <w:tcBorders>
              <w:top w:val="nil"/>
              <w:left w:val="nil"/>
              <w:bottom w:val="single" w:sz="4" w:space="0" w:color="auto"/>
              <w:right w:val="single" w:sz="4" w:space="0" w:color="auto"/>
            </w:tcBorders>
            <w:vAlign w:val="center"/>
            <w:hideMark/>
          </w:tcPr>
          <w:p w:rsidR="00BF440C" w:rsidRPr="00FC50AD" w:rsidRDefault="00BF440C" w:rsidP="003648B8">
            <w:pPr>
              <w:spacing w:after="0" w:line="240" w:lineRule="auto"/>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 </w:t>
            </w:r>
          </w:p>
        </w:tc>
      </w:tr>
      <w:tr w:rsidR="00BF440C" w:rsidRPr="00FC50AD" w:rsidTr="003648B8">
        <w:trPr>
          <w:trHeight w:val="600"/>
        </w:trPr>
        <w:tc>
          <w:tcPr>
            <w:tcW w:w="364" w:type="pct"/>
            <w:tcBorders>
              <w:top w:val="nil"/>
              <w:left w:val="single" w:sz="4" w:space="0" w:color="auto"/>
              <w:bottom w:val="single" w:sz="4" w:space="0" w:color="auto"/>
              <w:right w:val="single" w:sz="4" w:space="0" w:color="auto"/>
            </w:tcBorders>
            <w:vAlign w:val="center"/>
            <w:hideMark/>
          </w:tcPr>
          <w:p w:rsidR="00BF440C" w:rsidRPr="00FC50AD" w:rsidRDefault="00BF440C" w:rsidP="003648B8">
            <w:pPr>
              <w:spacing w:after="0" w:line="240" w:lineRule="auto"/>
              <w:jc w:val="center"/>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2</w:t>
            </w:r>
          </w:p>
        </w:tc>
        <w:tc>
          <w:tcPr>
            <w:tcW w:w="2714" w:type="pct"/>
            <w:tcBorders>
              <w:top w:val="nil"/>
              <w:left w:val="nil"/>
              <w:bottom w:val="single" w:sz="4" w:space="0" w:color="auto"/>
              <w:right w:val="single" w:sz="4" w:space="0" w:color="auto"/>
            </w:tcBorders>
            <w:vAlign w:val="center"/>
            <w:hideMark/>
          </w:tcPr>
          <w:p w:rsidR="00BF440C" w:rsidRPr="00FC50AD" w:rsidRDefault="00BF440C" w:rsidP="003648B8">
            <w:pPr>
              <w:spacing w:after="0" w:line="240" w:lineRule="auto"/>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The bidder should have a Microsoft Solutions Partner designation for Modern Workplace and Security.</w:t>
            </w:r>
          </w:p>
        </w:tc>
        <w:tc>
          <w:tcPr>
            <w:tcW w:w="673" w:type="pct"/>
            <w:tcBorders>
              <w:top w:val="nil"/>
              <w:left w:val="nil"/>
              <w:bottom w:val="single" w:sz="4" w:space="0" w:color="auto"/>
              <w:right w:val="single" w:sz="4" w:space="0" w:color="auto"/>
            </w:tcBorders>
            <w:vAlign w:val="center"/>
            <w:hideMark/>
          </w:tcPr>
          <w:p w:rsidR="00BF440C" w:rsidRPr="00FC50AD" w:rsidRDefault="00BF440C" w:rsidP="003648B8">
            <w:pPr>
              <w:spacing w:after="0" w:line="240" w:lineRule="auto"/>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 </w:t>
            </w:r>
          </w:p>
        </w:tc>
        <w:tc>
          <w:tcPr>
            <w:tcW w:w="1249" w:type="pct"/>
            <w:tcBorders>
              <w:top w:val="nil"/>
              <w:left w:val="nil"/>
              <w:bottom w:val="single" w:sz="4" w:space="0" w:color="auto"/>
              <w:right w:val="single" w:sz="4" w:space="0" w:color="auto"/>
            </w:tcBorders>
            <w:vAlign w:val="center"/>
            <w:hideMark/>
          </w:tcPr>
          <w:p w:rsidR="00BF440C" w:rsidRPr="00FC50AD" w:rsidRDefault="00BF440C" w:rsidP="003648B8">
            <w:pPr>
              <w:spacing w:after="0" w:line="240" w:lineRule="auto"/>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 </w:t>
            </w:r>
          </w:p>
        </w:tc>
      </w:tr>
      <w:tr w:rsidR="00BF440C" w:rsidRPr="00FC50AD" w:rsidTr="003648B8">
        <w:trPr>
          <w:trHeight w:val="300"/>
        </w:trPr>
        <w:tc>
          <w:tcPr>
            <w:tcW w:w="364" w:type="pct"/>
            <w:tcBorders>
              <w:top w:val="nil"/>
              <w:left w:val="single" w:sz="4" w:space="0" w:color="auto"/>
              <w:bottom w:val="single" w:sz="4" w:space="0" w:color="auto"/>
              <w:right w:val="single" w:sz="4" w:space="0" w:color="auto"/>
            </w:tcBorders>
            <w:vAlign w:val="center"/>
            <w:hideMark/>
          </w:tcPr>
          <w:p w:rsidR="00BF440C" w:rsidRPr="00FC50AD" w:rsidRDefault="00BF440C" w:rsidP="003648B8">
            <w:pPr>
              <w:spacing w:after="0" w:line="240" w:lineRule="auto"/>
              <w:jc w:val="center"/>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3</w:t>
            </w:r>
          </w:p>
        </w:tc>
        <w:tc>
          <w:tcPr>
            <w:tcW w:w="2714" w:type="pct"/>
            <w:tcBorders>
              <w:top w:val="nil"/>
              <w:left w:val="nil"/>
              <w:bottom w:val="single" w:sz="4" w:space="0" w:color="auto"/>
              <w:right w:val="single" w:sz="4" w:space="0" w:color="auto"/>
            </w:tcBorders>
            <w:vAlign w:val="center"/>
            <w:hideMark/>
          </w:tcPr>
          <w:p w:rsidR="00BF440C" w:rsidRPr="00FC50AD" w:rsidRDefault="00BF440C" w:rsidP="003648B8">
            <w:pPr>
              <w:spacing w:after="0" w:line="240" w:lineRule="auto"/>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Bidders with Specializations in Modern Workplace or Security are preferred.</w:t>
            </w:r>
          </w:p>
        </w:tc>
        <w:tc>
          <w:tcPr>
            <w:tcW w:w="673" w:type="pct"/>
            <w:tcBorders>
              <w:top w:val="nil"/>
              <w:left w:val="nil"/>
              <w:bottom w:val="single" w:sz="4" w:space="0" w:color="auto"/>
              <w:right w:val="single" w:sz="4" w:space="0" w:color="auto"/>
            </w:tcBorders>
            <w:vAlign w:val="center"/>
            <w:hideMark/>
          </w:tcPr>
          <w:p w:rsidR="00BF440C" w:rsidRPr="00FC50AD" w:rsidRDefault="00BF440C" w:rsidP="003648B8">
            <w:pPr>
              <w:spacing w:after="0" w:line="240" w:lineRule="auto"/>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 </w:t>
            </w:r>
          </w:p>
        </w:tc>
        <w:tc>
          <w:tcPr>
            <w:tcW w:w="1249" w:type="pct"/>
            <w:tcBorders>
              <w:top w:val="nil"/>
              <w:left w:val="nil"/>
              <w:bottom w:val="single" w:sz="4" w:space="0" w:color="auto"/>
              <w:right w:val="single" w:sz="4" w:space="0" w:color="auto"/>
            </w:tcBorders>
            <w:vAlign w:val="center"/>
            <w:hideMark/>
          </w:tcPr>
          <w:p w:rsidR="00BF440C" w:rsidRPr="00FC50AD" w:rsidRDefault="00BF440C" w:rsidP="003648B8">
            <w:pPr>
              <w:spacing w:after="0" w:line="240" w:lineRule="auto"/>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 </w:t>
            </w:r>
          </w:p>
        </w:tc>
      </w:tr>
      <w:tr w:rsidR="00BF440C" w:rsidRPr="00FC50AD" w:rsidTr="003648B8">
        <w:trPr>
          <w:trHeight w:val="600"/>
        </w:trPr>
        <w:tc>
          <w:tcPr>
            <w:tcW w:w="364" w:type="pct"/>
            <w:tcBorders>
              <w:top w:val="nil"/>
              <w:left w:val="single" w:sz="4" w:space="0" w:color="auto"/>
              <w:bottom w:val="single" w:sz="4" w:space="0" w:color="auto"/>
              <w:right w:val="single" w:sz="4" w:space="0" w:color="auto"/>
            </w:tcBorders>
            <w:vAlign w:val="center"/>
            <w:hideMark/>
          </w:tcPr>
          <w:p w:rsidR="00BF440C" w:rsidRPr="00FC50AD" w:rsidRDefault="00BF440C" w:rsidP="003648B8">
            <w:pPr>
              <w:spacing w:after="0" w:line="240" w:lineRule="auto"/>
              <w:jc w:val="center"/>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4</w:t>
            </w:r>
          </w:p>
        </w:tc>
        <w:tc>
          <w:tcPr>
            <w:tcW w:w="2714" w:type="pct"/>
            <w:tcBorders>
              <w:top w:val="nil"/>
              <w:left w:val="nil"/>
              <w:bottom w:val="single" w:sz="4" w:space="0" w:color="auto"/>
              <w:right w:val="single" w:sz="4" w:space="0" w:color="auto"/>
            </w:tcBorders>
            <w:vAlign w:val="center"/>
            <w:hideMark/>
          </w:tcPr>
          <w:p w:rsidR="00BF440C" w:rsidRPr="00FC50AD" w:rsidRDefault="00BF440C" w:rsidP="003648B8">
            <w:pPr>
              <w:spacing w:after="0" w:line="240" w:lineRule="auto"/>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 xml:space="preserve">The bidder must have deployment experiences of Microsoft Hybrid </w:t>
            </w:r>
            <w:proofErr w:type="spellStart"/>
            <w:r w:rsidRPr="00FC50AD">
              <w:rPr>
                <w:rFonts w:ascii="Calibri" w:eastAsia="Times New Roman" w:hAnsi="Calibri" w:cs="Calibri"/>
                <w:color w:val="000000"/>
                <w:kern w:val="0"/>
                <w:sz w:val="19"/>
                <w:szCs w:val="19"/>
                <w14:ligatures w14:val="none"/>
              </w:rPr>
              <w:t>Entra</w:t>
            </w:r>
            <w:proofErr w:type="spellEnd"/>
            <w:r w:rsidRPr="00FC50AD">
              <w:rPr>
                <w:rFonts w:ascii="Calibri" w:eastAsia="Times New Roman" w:hAnsi="Calibri" w:cs="Calibri"/>
                <w:color w:val="000000"/>
                <w:kern w:val="0"/>
                <w:sz w:val="19"/>
                <w:szCs w:val="19"/>
                <w14:ligatures w14:val="none"/>
              </w:rPr>
              <w:t xml:space="preserve"> ID, Exchange Server Hybrid model, and Intune with at least 2 local banks in Bangladesh.</w:t>
            </w:r>
          </w:p>
        </w:tc>
        <w:tc>
          <w:tcPr>
            <w:tcW w:w="673" w:type="pct"/>
            <w:tcBorders>
              <w:top w:val="nil"/>
              <w:left w:val="nil"/>
              <w:bottom w:val="single" w:sz="4" w:space="0" w:color="auto"/>
              <w:right w:val="single" w:sz="4" w:space="0" w:color="auto"/>
            </w:tcBorders>
            <w:vAlign w:val="center"/>
            <w:hideMark/>
          </w:tcPr>
          <w:p w:rsidR="00BF440C" w:rsidRPr="00FC50AD" w:rsidRDefault="00BF440C" w:rsidP="003648B8">
            <w:pPr>
              <w:spacing w:after="0" w:line="240" w:lineRule="auto"/>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 </w:t>
            </w:r>
          </w:p>
        </w:tc>
        <w:tc>
          <w:tcPr>
            <w:tcW w:w="1249" w:type="pct"/>
            <w:tcBorders>
              <w:top w:val="nil"/>
              <w:left w:val="nil"/>
              <w:bottom w:val="single" w:sz="4" w:space="0" w:color="auto"/>
              <w:right w:val="single" w:sz="4" w:space="0" w:color="auto"/>
            </w:tcBorders>
            <w:vAlign w:val="center"/>
            <w:hideMark/>
          </w:tcPr>
          <w:p w:rsidR="00BF440C" w:rsidRPr="00FC50AD" w:rsidRDefault="00BF440C" w:rsidP="003648B8">
            <w:pPr>
              <w:spacing w:after="0" w:line="240" w:lineRule="auto"/>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 </w:t>
            </w:r>
          </w:p>
        </w:tc>
      </w:tr>
      <w:tr w:rsidR="00BF440C" w:rsidRPr="00FC50AD" w:rsidTr="003648B8">
        <w:trPr>
          <w:trHeight w:val="600"/>
        </w:trPr>
        <w:tc>
          <w:tcPr>
            <w:tcW w:w="364" w:type="pct"/>
            <w:tcBorders>
              <w:top w:val="nil"/>
              <w:left w:val="single" w:sz="4" w:space="0" w:color="auto"/>
              <w:bottom w:val="single" w:sz="4" w:space="0" w:color="auto"/>
              <w:right w:val="single" w:sz="4" w:space="0" w:color="auto"/>
            </w:tcBorders>
            <w:vAlign w:val="center"/>
            <w:hideMark/>
          </w:tcPr>
          <w:p w:rsidR="00BF440C" w:rsidRPr="00FC50AD" w:rsidRDefault="00BF440C" w:rsidP="003648B8">
            <w:pPr>
              <w:spacing w:after="0" w:line="240" w:lineRule="auto"/>
              <w:jc w:val="center"/>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5</w:t>
            </w:r>
          </w:p>
        </w:tc>
        <w:tc>
          <w:tcPr>
            <w:tcW w:w="2714" w:type="pct"/>
            <w:tcBorders>
              <w:top w:val="nil"/>
              <w:left w:val="nil"/>
              <w:bottom w:val="single" w:sz="4" w:space="0" w:color="auto"/>
              <w:right w:val="single" w:sz="4" w:space="0" w:color="auto"/>
            </w:tcBorders>
            <w:vAlign w:val="center"/>
            <w:hideMark/>
          </w:tcPr>
          <w:p w:rsidR="00BF440C" w:rsidRPr="00FC50AD" w:rsidRDefault="00BF440C" w:rsidP="003648B8">
            <w:pPr>
              <w:spacing w:after="0" w:line="240" w:lineRule="auto"/>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The bidder must provide a detailed proposed solution architectural design and clearly defined technical requirements document with project implementation plan.</w:t>
            </w:r>
          </w:p>
        </w:tc>
        <w:tc>
          <w:tcPr>
            <w:tcW w:w="673" w:type="pct"/>
            <w:tcBorders>
              <w:top w:val="nil"/>
              <w:left w:val="nil"/>
              <w:bottom w:val="single" w:sz="4" w:space="0" w:color="auto"/>
              <w:right w:val="single" w:sz="4" w:space="0" w:color="auto"/>
            </w:tcBorders>
            <w:vAlign w:val="center"/>
            <w:hideMark/>
          </w:tcPr>
          <w:p w:rsidR="00BF440C" w:rsidRPr="00FC50AD" w:rsidRDefault="00BF440C" w:rsidP="003648B8">
            <w:pPr>
              <w:spacing w:after="0" w:line="240" w:lineRule="auto"/>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 </w:t>
            </w:r>
          </w:p>
        </w:tc>
        <w:tc>
          <w:tcPr>
            <w:tcW w:w="1249" w:type="pct"/>
            <w:tcBorders>
              <w:top w:val="nil"/>
              <w:left w:val="nil"/>
              <w:bottom w:val="single" w:sz="4" w:space="0" w:color="auto"/>
              <w:right w:val="single" w:sz="4" w:space="0" w:color="auto"/>
            </w:tcBorders>
            <w:vAlign w:val="center"/>
            <w:hideMark/>
          </w:tcPr>
          <w:p w:rsidR="00BF440C" w:rsidRPr="00FC50AD" w:rsidRDefault="00BF440C" w:rsidP="003648B8">
            <w:pPr>
              <w:spacing w:after="0" w:line="240" w:lineRule="auto"/>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 </w:t>
            </w:r>
          </w:p>
        </w:tc>
      </w:tr>
      <w:tr w:rsidR="00BF440C" w:rsidRPr="00FC50AD" w:rsidTr="003648B8">
        <w:trPr>
          <w:trHeight w:val="600"/>
        </w:trPr>
        <w:tc>
          <w:tcPr>
            <w:tcW w:w="364" w:type="pct"/>
            <w:tcBorders>
              <w:top w:val="nil"/>
              <w:left w:val="single" w:sz="4" w:space="0" w:color="auto"/>
              <w:bottom w:val="single" w:sz="4" w:space="0" w:color="auto"/>
              <w:right w:val="single" w:sz="4" w:space="0" w:color="auto"/>
            </w:tcBorders>
            <w:vAlign w:val="center"/>
            <w:hideMark/>
          </w:tcPr>
          <w:p w:rsidR="00BF440C" w:rsidRPr="00FC50AD" w:rsidRDefault="00BF440C" w:rsidP="003648B8">
            <w:pPr>
              <w:spacing w:after="0" w:line="240" w:lineRule="auto"/>
              <w:jc w:val="center"/>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6</w:t>
            </w:r>
          </w:p>
        </w:tc>
        <w:tc>
          <w:tcPr>
            <w:tcW w:w="2714" w:type="pct"/>
            <w:tcBorders>
              <w:top w:val="nil"/>
              <w:left w:val="nil"/>
              <w:bottom w:val="single" w:sz="4" w:space="0" w:color="auto"/>
              <w:right w:val="single" w:sz="4" w:space="0" w:color="auto"/>
            </w:tcBorders>
            <w:vAlign w:val="center"/>
            <w:hideMark/>
          </w:tcPr>
          <w:p w:rsidR="00BF440C" w:rsidRPr="00FC50AD" w:rsidRDefault="00BF440C" w:rsidP="003648B8">
            <w:pPr>
              <w:spacing w:after="0" w:line="240" w:lineRule="auto"/>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The bidder must provide draft 24/7 Services Agreement, where SLA response time, resolution times, support structure &amp; escalation procedure up to OEM shall be mentioned.</w:t>
            </w:r>
          </w:p>
        </w:tc>
        <w:tc>
          <w:tcPr>
            <w:tcW w:w="673" w:type="pct"/>
            <w:tcBorders>
              <w:top w:val="nil"/>
              <w:left w:val="nil"/>
              <w:bottom w:val="single" w:sz="4" w:space="0" w:color="auto"/>
              <w:right w:val="single" w:sz="4" w:space="0" w:color="auto"/>
            </w:tcBorders>
            <w:vAlign w:val="center"/>
            <w:hideMark/>
          </w:tcPr>
          <w:p w:rsidR="00BF440C" w:rsidRPr="00FC50AD" w:rsidRDefault="00BF440C" w:rsidP="003648B8">
            <w:pPr>
              <w:spacing w:after="0" w:line="240" w:lineRule="auto"/>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 </w:t>
            </w:r>
          </w:p>
        </w:tc>
        <w:tc>
          <w:tcPr>
            <w:tcW w:w="1249" w:type="pct"/>
            <w:tcBorders>
              <w:top w:val="nil"/>
              <w:left w:val="nil"/>
              <w:bottom w:val="single" w:sz="4" w:space="0" w:color="auto"/>
              <w:right w:val="single" w:sz="4" w:space="0" w:color="auto"/>
            </w:tcBorders>
            <w:vAlign w:val="center"/>
            <w:hideMark/>
          </w:tcPr>
          <w:p w:rsidR="00BF440C" w:rsidRPr="00FC50AD" w:rsidRDefault="00BF440C" w:rsidP="003648B8">
            <w:pPr>
              <w:spacing w:after="0" w:line="240" w:lineRule="auto"/>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 </w:t>
            </w:r>
          </w:p>
        </w:tc>
      </w:tr>
      <w:tr w:rsidR="00BF440C" w:rsidRPr="00FC50AD" w:rsidTr="003648B8">
        <w:trPr>
          <w:trHeight w:val="600"/>
        </w:trPr>
        <w:tc>
          <w:tcPr>
            <w:tcW w:w="364" w:type="pct"/>
            <w:tcBorders>
              <w:top w:val="nil"/>
              <w:left w:val="single" w:sz="4" w:space="0" w:color="auto"/>
              <w:bottom w:val="single" w:sz="4" w:space="0" w:color="auto"/>
              <w:right w:val="single" w:sz="4" w:space="0" w:color="auto"/>
            </w:tcBorders>
            <w:vAlign w:val="center"/>
            <w:hideMark/>
          </w:tcPr>
          <w:p w:rsidR="00BF440C" w:rsidRPr="00FC50AD" w:rsidRDefault="00BF440C" w:rsidP="003648B8">
            <w:pPr>
              <w:spacing w:after="0" w:line="240" w:lineRule="auto"/>
              <w:jc w:val="center"/>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7</w:t>
            </w:r>
          </w:p>
        </w:tc>
        <w:tc>
          <w:tcPr>
            <w:tcW w:w="2714" w:type="pct"/>
            <w:tcBorders>
              <w:top w:val="nil"/>
              <w:left w:val="nil"/>
              <w:bottom w:val="single" w:sz="4" w:space="0" w:color="auto"/>
              <w:right w:val="single" w:sz="4" w:space="0" w:color="auto"/>
            </w:tcBorders>
            <w:vAlign w:val="center"/>
            <w:hideMark/>
          </w:tcPr>
          <w:p w:rsidR="00BF440C" w:rsidRPr="00FC50AD" w:rsidRDefault="00BF440C" w:rsidP="003648B8">
            <w:pPr>
              <w:spacing w:after="0" w:line="240" w:lineRule="auto"/>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The bidder should have capability to provide Microsoft Premier Support for Critical issue escalation.</w:t>
            </w:r>
          </w:p>
        </w:tc>
        <w:tc>
          <w:tcPr>
            <w:tcW w:w="673" w:type="pct"/>
            <w:tcBorders>
              <w:top w:val="nil"/>
              <w:left w:val="nil"/>
              <w:bottom w:val="single" w:sz="4" w:space="0" w:color="auto"/>
              <w:right w:val="single" w:sz="4" w:space="0" w:color="auto"/>
            </w:tcBorders>
            <w:vAlign w:val="center"/>
            <w:hideMark/>
          </w:tcPr>
          <w:p w:rsidR="00BF440C" w:rsidRPr="00FC50AD" w:rsidRDefault="00BF440C" w:rsidP="003648B8">
            <w:pPr>
              <w:spacing w:after="0" w:line="240" w:lineRule="auto"/>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 </w:t>
            </w:r>
          </w:p>
        </w:tc>
        <w:tc>
          <w:tcPr>
            <w:tcW w:w="1249" w:type="pct"/>
            <w:tcBorders>
              <w:top w:val="nil"/>
              <w:left w:val="nil"/>
              <w:bottom w:val="single" w:sz="4" w:space="0" w:color="auto"/>
              <w:right w:val="single" w:sz="4" w:space="0" w:color="auto"/>
            </w:tcBorders>
            <w:vAlign w:val="center"/>
            <w:hideMark/>
          </w:tcPr>
          <w:p w:rsidR="00BF440C" w:rsidRPr="00FC50AD" w:rsidRDefault="00BF440C" w:rsidP="003648B8">
            <w:pPr>
              <w:spacing w:after="0" w:line="240" w:lineRule="auto"/>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 </w:t>
            </w:r>
          </w:p>
        </w:tc>
      </w:tr>
      <w:tr w:rsidR="00BF440C" w:rsidRPr="00FC50AD" w:rsidTr="003648B8">
        <w:trPr>
          <w:trHeight w:val="1500"/>
        </w:trPr>
        <w:tc>
          <w:tcPr>
            <w:tcW w:w="364" w:type="pct"/>
            <w:tcBorders>
              <w:top w:val="nil"/>
              <w:left w:val="single" w:sz="4" w:space="0" w:color="auto"/>
              <w:bottom w:val="single" w:sz="4" w:space="0" w:color="auto"/>
              <w:right w:val="single" w:sz="4" w:space="0" w:color="auto"/>
            </w:tcBorders>
            <w:vAlign w:val="center"/>
            <w:hideMark/>
          </w:tcPr>
          <w:p w:rsidR="00BF440C" w:rsidRPr="00FC50AD" w:rsidRDefault="00BF440C" w:rsidP="003648B8">
            <w:pPr>
              <w:spacing w:after="0" w:line="240" w:lineRule="auto"/>
              <w:jc w:val="center"/>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8</w:t>
            </w:r>
          </w:p>
        </w:tc>
        <w:tc>
          <w:tcPr>
            <w:tcW w:w="2714" w:type="pct"/>
            <w:tcBorders>
              <w:top w:val="nil"/>
              <w:left w:val="nil"/>
              <w:bottom w:val="single" w:sz="4" w:space="0" w:color="auto"/>
              <w:right w:val="single" w:sz="4" w:space="0" w:color="auto"/>
            </w:tcBorders>
            <w:vAlign w:val="center"/>
            <w:hideMark/>
          </w:tcPr>
          <w:p w:rsidR="00BF440C" w:rsidRPr="00FC50AD" w:rsidRDefault="00BF440C" w:rsidP="003648B8">
            <w:pPr>
              <w:spacing w:after="0" w:line="240" w:lineRule="auto"/>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 xml:space="preserve">The bidder must have Technical Resources specialized in Microsoft Solutions and will share certification tier and number of resource. The Technical Resources should also have experience in Similar Project Design, implementation, and migration. The Technical Resources’ profile must be attached with key project experience in Bangladesh. </w:t>
            </w:r>
          </w:p>
        </w:tc>
        <w:tc>
          <w:tcPr>
            <w:tcW w:w="673" w:type="pct"/>
            <w:tcBorders>
              <w:top w:val="nil"/>
              <w:left w:val="nil"/>
              <w:bottom w:val="single" w:sz="4" w:space="0" w:color="auto"/>
              <w:right w:val="single" w:sz="4" w:space="0" w:color="auto"/>
            </w:tcBorders>
            <w:vAlign w:val="center"/>
            <w:hideMark/>
          </w:tcPr>
          <w:p w:rsidR="00BF440C" w:rsidRPr="00FC50AD" w:rsidRDefault="00BF440C" w:rsidP="003648B8">
            <w:pPr>
              <w:spacing w:after="0" w:line="240" w:lineRule="auto"/>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 </w:t>
            </w:r>
          </w:p>
        </w:tc>
        <w:tc>
          <w:tcPr>
            <w:tcW w:w="1249" w:type="pct"/>
            <w:tcBorders>
              <w:top w:val="nil"/>
              <w:left w:val="nil"/>
              <w:bottom w:val="single" w:sz="4" w:space="0" w:color="auto"/>
              <w:right w:val="single" w:sz="4" w:space="0" w:color="auto"/>
            </w:tcBorders>
            <w:vAlign w:val="center"/>
            <w:hideMark/>
          </w:tcPr>
          <w:p w:rsidR="00BF440C" w:rsidRPr="00FC50AD" w:rsidRDefault="00BF440C" w:rsidP="003648B8">
            <w:pPr>
              <w:spacing w:after="0" w:line="240" w:lineRule="auto"/>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 </w:t>
            </w:r>
          </w:p>
        </w:tc>
      </w:tr>
      <w:tr w:rsidR="00BF440C" w:rsidRPr="00FC50AD" w:rsidTr="003648B8">
        <w:trPr>
          <w:trHeight w:val="600"/>
        </w:trPr>
        <w:tc>
          <w:tcPr>
            <w:tcW w:w="364" w:type="pct"/>
            <w:tcBorders>
              <w:top w:val="nil"/>
              <w:left w:val="single" w:sz="4" w:space="0" w:color="auto"/>
              <w:bottom w:val="single" w:sz="4" w:space="0" w:color="auto"/>
              <w:right w:val="single" w:sz="4" w:space="0" w:color="auto"/>
            </w:tcBorders>
            <w:vAlign w:val="center"/>
            <w:hideMark/>
          </w:tcPr>
          <w:p w:rsidR="00BF440C" w:rsidRPr="00FC50AD" w:rsidRDefault="00BF440C" w:rsidP="003648B8">
            <w:pPr>
              <w:spacing w:after="0" w:line="240" w:lineRule="auto"/>
              <w:jc w:val="center"/>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9</w:t>
            </w:r>
          </w:p>
        </w:tc>
        <w:tc>
          <w:tcPr>
            <w:tcW w:w="2714" w:type="pct"/>
            <w:tcBorders>
              <w:top w:val="nil"/>
              <w:left w:val="nil"/>
              <w:bottom w:val="single" w:sz="4" w:space="0" w:color="auto"/>
              <w:right w:val="single" w:sz="4" w:space="0" w:color="auto"/>
            </w:tcBorders>
            <w:vAlign w:val="center"/>
            <w:hideMark/>
          </w:tcPr>
          <w:p w:rsidR="00BF440C" w:rsidRPr="00FC50AD" w:rsidRDefault="00BF440C" w:rsidP="003648B8">
            <w:pPr>
              <w:spacing w:after="0" w:line="240" w:lineRule="auto"/>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The bidder should have certified resources for the required Microsoft Solutions as per BOQ.</w:t>
            </w:r>
          </w:p>
        </w:tc>
        <w:tc>
          <w:tcPr>
            <w:tcW w:w="673" w:type="pct"/>
            <w:tcBorders>
              <w:top w:val="nil"/>
              <w:left w:val="nil"/>
              <w:bottom w:val="single" w:sz="4" w:space="0" w:color="auto"/>
              <w:right w:val="single" w:sz="4" w:space="0" w:color="auto"/>
            </w:tcBorders>
            <w:vAlign w:val="center"/>
            <w:hideMark/>
          </w:tcPr>
          <w:p w:rsidR="00BF440C" w:rsidRPr="00FC50AD" w:rsidRDefault="00BF440C" w:rsidP="003648B8">
            <w:pPr>
              <w:spacing w:after="0" w:line="240" w:lineRule="auto"/>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 </w:t>
            </w:r>
          </w:p>
        </w:tc>
        <w:tc>
          <w:tcPr>
            <w:tcW w:w="1249" w:type="pct"/>
            <w:tcBorders>
              <w:top w:val="nil"/>
              <w:left w:val="nil"/>
              <w:bottom w:val="single" w:sz="4" w:space="0" w:color="auto"/>
              <w:right w:val="single" w:sz="4" w:space="0" w:color="auto"/>
            </w:tcBorders>
            <w:vAlign w:val="center"/>
            <w:hideMark/>
          </w:tcPr>
          <w:p w:rsidR="00BF440C" w:rsidRPr="00FC50AD" w:rsidRDefault="00BF440C" w:rsidP="003648B8">
            <w:pPr>
              <w:spacing w:after="0" w:line="240" w:lineRule="auto"/>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 </w:t>
            </w:r>
          </w:p>
        </w:tc>
      </w:tr>
      <w:tr w:rsidR="00BF440C" w:rsidRPr="00FC50AD" w:rsidTr="003648B8">
        <w:trPr>
          <w:trHeight w:val="300"/>
        </w:trPr>
        <w:tc>
          <w:tcPr>
            <w:tcW w:w="364" w:type="pct"/>
            <w:tcBorders>
              <w:top w:val="nil"/>
              <w:left w:val="single" w:sz="4" w:space="0" w:color="auto"/>
              <w:bottom w:val="single" w:sz="4" w:space="0" w:color="auto"/>
              <w:right w:val="single" w:sz="4" w:space="0" w:color="auto"/>
            </w:tcBorders>
            <w:vAlign w:val="center"/>
            <w:hideMark/>
          </w:tcPr>
          <w:p w:rsidR="00BF440C" w:rsidRPr="00FC50AD" w:rsidRDefault="00BF440C" w:rsidP="003648B8">
            <w:pPr>
              <w:spacing w:after="0" w:line="240" w:lineRule="auto"/>
              <w:jc w:val="center"/>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10</w:t>
            </w:r>
          </w:p>
        </w:tc>
        <w:tc>
          <w:tcPr>
            <w:tcW w:w="2714" w:type="pct"/>
            <w:tcBorders>
              <w:top w:val="nil"/>
              <w:left w:val="nil"/>
              <w:bottom w:val="single" w:sz="4" w:space="0" w:color="auto"/>
              <w:right w:val="single" w:sz="4" w:space="0" w:color="auto"/>
            </w:tcBorders>
            <w:vAlign w:val="center"/>
            <w:hideMark/>
          </w:tcPr>
          <w:p w:rsidR="00BF440C" w:rsidRPr="00FC50AD" w:rsidRDefault="00BF440C" w:rsidP="003648B8">
            <w:pPr>
              <w:spacing w:after="0" w:line="240" w:lineRule="auto"/>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Bidder must ensure necessary compliance for provided subscriptions/services.</w:t>
            </w:r>
          </w:p>
        </w:tc>
        <w:tc>
          <w:tcPr>
            <w:tcW w:w="673" w:type="pct"/>
            <w:tcBorders>
              <w:top w:val="nil"/>
              <w:left w:val="nil"/>
              <w:bottom w:val="single" w:sz="4" w:space="0" w:color="auto"/>
              <w:right w:val="single" w:sz="4" w:space="0" w:color="auto"/>
            </w:tcBorders>
            <w:vAlign w:val="center"/>
            <w:hideMark/>
          </w:tcPr>
          <w:p w:rsidR="00BF440C" w:rsidRPr="00FC50AD" w:rsidRDefault="00BF440C" w:rsidP="003648B8">
            <w:pPr>
              <w:spacing w:after="0" w:line="240" w:lineRule="auto"/>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 </w:t>
            </w:r>
          </w:p>
        </w:tc>
        <w:tc>
          <w:tcPr>
            <w:tcW w:w="1249" w:type="pct"/>
            <w:tcBorders>
              <w:top w:val="nil"/>
              <w:left w:val="nil"/>
              <w:bottom w:val="single" w:sz="4" w:space="0" w:color="auto"/>
              <w:right w:val="single" w:sz="4" w:space="0" w:color="auto"/>
            </w:tcBorders>
            <w:vAlign w:val="center"/>
            <w:hideMark/>
          </w:tcPr>
          <w:p w:rsidR="00BF440C" w:rsidRPr="00FC50AD" w:rsidRDefault="00BF440C" w:rsidP="003648B8">
            <w:pPr>
              <w:spacing w:after="0" w:line="240" w:lineRule="auto"/>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 </w:t>
            </w:r>
          </w:p>
        </w:tc>
      </w:tr>
      <w:tr w:rsidR="00BF440C" w:rsidRPr="00FC50AD" w:rsidTr="003648B8">
        <w:trPr>
          <w:trHeight w:val="600"/>
        </w:trPr>
        <w:tc>
          <w:tcPr>
            <w:tcW w:w="364" w:type="pct"/>
            <w:tcBorders>
              <w:top w:val="nil"/>
              <w:left w:val="single" w:sz="4" w:space="0" w:color="auto"/>
              <w:bottom w:val="single" w:sz="4" w:space="0" w:color="auto"/>
              <w:right w:val="single" w:sz="4" w:space="0" w:color="auto"/>
            </w:tcBorders>
            <w:vAlign w:val="center"/>
            <w:hideMark/>
          </w:tcPr>
          <w:p w:rsidR="00BF440C" w:rsidRPr="00FC50AD" w:rsidRDefault="00BF440C" w:rsidP="003648B8">
            <w:pPr>
              <w:spacing w:after="0" w:line="240" w:lineRule="auto"/>
              <w:jc w:val="center"/>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11</w:t>
            </w:r>
          </w:p>
        </w:tc>
        <w:tc>
          <w:tcPr>
            <w:tcW w:w="2714" w:type="pct"/>
            <w:tcBorders>
              <w:top w:val="nil"/>
              <w:left w:val="nil"/>
              <w:bottom w:val="single" w:sz="4" w:space="0" w:color="auto"/>
              <w:right w:val="single" w:sz="4" w:space="0" w:color="auto"/>
            </w:tcBorders>
            <w:vAlign w:val="center"/>
            <w:hideMark/>
          </w:tcPr>
          <w:p w:rsidR="00BF440C" w:rsidRPr="00FC50AD" w:rsidRDefault="00BF440C" w:rsidP="003648B8">
            <w:pPr>
              <w:spacing w:after="0" w:line="240" w:lineRule="auto"/>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City Bank PLC retains the right to evaluate the consultants’ knowledge for the proposed solutions. Bank might also ask for Technical Presentation.</w:t>
            </w:r>
          </w:p>
        </w:tc>
        <w:tc>
          <w:tcPr>
            <w:tcW w:w="673" w:type="pct"/>
            <w:tcBorders>
              <w:top w:val="nil"/>
              <w:left w:val="nil"/>
              <w:bottom w:val="single" w:sz="4" w:space="0" w:color="auto"/>
              <w:right w:val="single" w:sz="4" w:space="0" w:color="auto"/>
            </w:tcBorders>
            <w:vAlign w:val="center"/>
            <w:hideMark/>
          </w:tcPr>
          <w:p w:rsidR="00BF440C" w:rsidRPr="00FC50AD" w:rsidRDefault="00BF440C" w:rsidP="003648B8">
            <w:pPr>
              <w:spacing w:after="0" w:line="240" w:lineRule="auto"/>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 </w:t>
            </w:r>
          </w:p>
        </w:tc>
        <w:tc>
          <w:tcPr>
            <w:tcW w:w="1249" w:type="pct"/>
            <w:tcBorders>
              <w:top w:val="nil"/>
              <w:left w:val="nil"/>
              <w:bottom w:val="single" w:sz="4" w:space="0" w:color="auto"/>
              <w:right w:val="single" w:sz="4" w:space="0" w:color="auto"/>
            </w:tcBorders>
            <w:vAlign w:val="center"/>
            <w:hideMark/>
          </w:tcPr>
          <w:p w:rsidR="00BF440C" w:rsidRPr="00FC50AD" w:rsidRDefault="00BF440C" w:rsidP="003648B8">
            <w:pPr>
              <w:spacing w:after="0" w:line="240" w:lineRule="auto"/>
              <w:rPr>
                <w:rFonts w:ascii="Calibri" w:eastAsia="Times New Roman" w:hAnsi="Calibri" w:cs="Calibri"/>
                <w:color w:val="000000"/>
                <w:kern w:val="0"/>
                <w:sz w:val="19"/>
                <w:szCs w:val="19"/>
                <w14:ligatures w14:val="none"/>
              </w:rPr>
            </w:pPr>
            <w:r w:rsidRPr="00FC50AD">
              <w:rPr>
                <w:rFonts w:ascii="Calibri" w:eastAsia="Times New Roman" w:hAnsi="Calibri" w:cs="Calibri"/>
                <w:color w:val="000000"/>
                <w:kern w:val="0"/>
                <w:sz w:val="19"/>
                <w:szCs w:val="19"/>
                <w14:ligatures w14:val="none"/>
              </w:rPr>
              <w:t> </w:t>
            </w:r>
          </w:p>
        </w:tc>
      </w:tr>
    </w:tbl>
    <w:p w:rsidR="00BF440C" w:rsidRDefault="00BF440C" w:rsidP="00FC50AD"/>
    <w:sectPr w:rsidR="00BF440C" w:rsidSect="00FC50AD">
      <w:pgSz w:w="12240" w:h="15840"/>
      <w:pgMar w:top="108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altName w:val="Arial"/>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40C"/>
    <w:rsid w:val="000C4C39"/>
    <w:rsid w:val="0025589D"/>
    <w:rsid w:val="005C494D"/>
    <w:rsid w:val="006440B0"/>
    <w:rsid w:val="00665311"/>
    <w:rsid w:val="00716B43"/>
    <w:rsid w:val="00BF440C"/>
    <w:rsid w:val="00D73EC4"/>
    <w:rsid w:val="00D8532B"/>
    <w:rsid w:val="00FC50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B6AF1"/>
  <w15:chartTrackingRefBased/>
  <w15:docId w15:val="{F73EE969-84E7-4428-A30F-FA18B7F4F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44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F44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437</Words>
  <Characters>2491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 Kundu, Head of Infrastructure Management, ITSM</dc:creator>
  <cp:keywords/>
  <dc:description/>
  <cp:lastModifiedBy>Toufique (Md.Toufique Hasan), Procurement</cp:lastModifiedBy>
  <cp:revision>2</cp:revision>
  <dcterms:created xsi:type="dcterms:W3CDTF">2025-11-19T12:35:00Z</dcterms:created>
  <dcterms:modified xsi:type="dcterms:W3CDTF">2025-11-27T05:43:00Z</dcterms:modified>
</cp:coreProperties>
</file>